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7B0B" w14:textId="6671705D" w:rsidR="00082E8D" w:rsidRPr="0048703B" w:rsidRDefault="00082E8D" w:rsidP="0038397D">
      <w:pPr>
        <w:pStyle w:val="Default"/>
        <w:rPr>
          <w:rFonts w:ascii="Times New Roman" w:hAnsi="Times New Roman" w:cs="Times New Roman"/>
          <w:sz w:val="20"/>
          <w:szCs w:val="20"/>
        </w:rPr>
      </w:pPr>
    </w:p>
    <w:p w14:paraId="60AE2E3C" w14:textId="77777777" w:rsidR="0038397D" w:rsidRDefault="0038397D" w:rsidP="0038397D">
      <w:pPr>
        <w:jc w:val="center"/>
        <w:rPr>
          <w:b/>
          <w:sz w:val="20"/>
        </w:rPr>
      </w:pPr>
      <w:r w:rsidRPr="001D3E8A">
        <w:rPr>
          <w:b/>
          <w:sz w:val="20"/>
        </w:rPr>
        <w:t>ADATKEZELÉSI TÁJÉKOZTATÓ</w:t>
      </w:r>
    </w:p>
    <w:p w14:paraId="15309A74" w14:textId="2F6C6EB6" w:rsidR="00F45F64" w:rsidRPr="001D3E8A" w:rsidRDefault="009F4C5E" w:rsidP="0038397D">
      <w:pPr>
        <w:jc w:val="center"/>
        <w:rPr>
          <w:b/>
          <w:sz w:val="20"/>
        </w:rPr>
      </w:pPr>
      <w:r>
        <w:rPr>
          <w:b/>
          <w:sz w:val="20"/>
        </w:rPr>
        <w:t>felvett jelentkezők</w:t>
      </w:r>
      <w:r w:rsidR="00AD42BF">
        <w:rPr>
          <w:b/>
          <w:sz w:val="20"/>
        </w:rPr>
        <w:t>/</w:t>
      </w:r>
      <w:r w:rsidR="00F45F64" w:rsidRPr="00AD42BF">
        <w:rPr>
          <w:b/>
          <w:sz w:val="20"/>
        </w:rPr>
        <w:t>hallgatók részére</w:t>
      </w:r>
    </w:p>
    <w:p w14:paraId="04A201C7" w14:textId="77777777" w:rsidR="00351F31" w:rsidRDefault="00351F31" w:rsidP="00351F31">
      <w:pPr>
        <w:jc w:val="both"/>
        <w:rPr>
          <w:i/>
          <w:sz w:val="20"/>
          <w:highlight w:val="lightGray"/>
        </w:rPr>
      </w:pPr>
    </w:p>
    <w:p w14:paraId="4419EA75" w14:textId="77777777" w:rsidR="00C6160D" w:rsidRDefault="00C6160D" w:rsidP="00C6160D">
      <w:pPr>
        <w:jc w:val="both"/>
        <w:rPr>
          <w:b/>
          <w:bCs/>
          <w:sz w:val="20"/>
        </w:rPr>
      </w:pPr>
    </w:p>
    <w:p w14:paraId="314461DF" w14:textId="01FA3D76" w:rsidR="00C6160D"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sidR="00003280">
        <w:rPr>
          <w:sz w:val="20"/>
        </w:rPr>
        <w:t>Önt, mint</w:t>
      </w:r>
      <w:r>
        <w:rPr>
          <w:sz w:val="20"/>
        </w:rPr>
        <w:t xml:space="preserve"> </w:t>
      </w:r>
      <w:r w:rsidRPr="00AD42BF">
        <w:rPr>
          <w:sz w:val="20"/>
        </w:rPr>
        <w:t>érintettet</w:t>
      </w:r>
      <w:r w:rsidRPr="00AD42BF" w:rsidDel="0038397D">
        <w:rPr>
          <w:sz w:val="20"/>
        </w:rPr>
        <w:t xml:space="preserve"> </w:t>
      </w:r>
      <w:r w:rsidR="000A6547" w:rsidRPr="00AD42BF">
        <w:rPr>
          <w:sz w:val="20"/>
        </w:rPr>
        <w:t xml:space="preserve">a </w:t>
      </w:r>
      <w:r w:rsidR="007E5837" w:rsidRPr="00AD42BF">
        <w:rPr>
          <w:sz w:val="20"/>
        </w:rPr>
        <w:t xml:space="preserve">hallgatói </w:t>
      </w:r>
      <w:r w:rsidR="000A6547" w:rsidRPr="00AD42BF">
        <w:rPr>
          <w:sz w:val="20"/>
        </w:rPr>
        <w:t>jogviszonyával kapcsolatos adatai</w:t>
      </w:r>
      <w:r w:rsidRPr="00AD42BF">
        <w:rPr>
          <w:sz w:val="20"/>
        </w:rPr>
        <w:t xml:space="preserve"> kezelés</w:t>
      </w:r>
      <w:r w:rsidR="00C45407" w:rsidRPr="00AD42BF">
        <w:rPr>
          <w:sz w:val="20"/>
        </w:rPr>
        <w:t>é</w:t>
      </w:r>
      <w:r w:rsidRPr="00AD42BF">
        <w:rPr>
          <w:sz w:val="20"/>
        </w:rPr>
        <w:t>ről.</w:t>
      </w:r>
    </w:p>
    <w:p w14:paraId="78148E69" w14:textId="77777777" w:rsidR="00591218" w:rsidRPr="0048703B" w:rsidRDefault="00591218" w:rsidP="00C6160D">
      <w:pPr>
        <w:jc w:val="both"/>
        <w:rPr>
          <w:sz w:val="20"/>
        </w:rPr>
      </w:pPr>
    </w:p>
    <w:p w14:paraId="6130A793" w14:textId="40762951" w:rsidR="00C0471F" w:rsidRPr="0038397D" w:rsidRDefault="00C0471F" w:rsidP="00C0471F">
      <w:pPr>
        <w:jc w:val="both"/>
        <w:rPr>
          <w:b/>
          <w:sz w:val="20"/>
          <w:u w:val="single"/>
        </w:rPr>
      </w:pPr>
      <w:r w:rsidRPr="0038397D">
        <w:rPr>
          <w:b/>
          <w:sz w:val="20"/>
          <w:u w:val="single"/>
        </w:rPr>
        <w:t xml:space="preserve">Ki </w:t>
      </w:r>
      <w:r w:rsidR="00753930">
        <w:rPr>
          <w:b/>
          <w:sz w:val="20"/>
          <w:u w:val="single"/>
        </w:rPr>
        <w:t>lesz az Ön adatainak kezelésére</w:t>
      </w:r>
      <w:r w:rsidRPr="0038397D">
        <w:rPr>
          <w:b/>
          <w:sz w:val="20"/>
          <w:u w:val="single"/>
        </w:rPr>
        <w:t xml:space="preserve"> feljogosítva?</w:t>
      </w:r>
    </w:p>
    <w:p w14:paraId="22999AA1" w14:textId="77777777" w:rsidR="00C0471F" w:rsidRPr="0038397D" w:rsidRDefault="00C0471F" w:rsidP="00C0471F">
      <w:pPr>
        <w:jc w:val="both"/>
        <w:rPr>
          <w:b/>
          <w:sz w:val="20"/>
        </w:rPr>
      </w:pPr>
      <w:r w:rsidRPr="0038397D">
        <w:rPr>
          <w:b/>
          <w:sz w:val="20"/>
        </w:rPr>
        <w:t xml:space="preserve">Adatkezelő: </w:t>
      </w:r>
    </w:p>
    <w:p w14:paraId="79CDDF5D" w14:textId="77777777" w:rsidR="00C0471F" w:rsidRPr="0038397D" w:rsidRDefault="00C0471F" w:rsidP="00C0471F">
      <w:pPr>
        <w:jc w:val="both"/>
        <w:rPr>
          <w:b/>
          <w:sz w:val="20"/>
        </w:rPr>
      </w:pPr>
      <w:r w:rsidRPr="0038397D">
        <w:rPr>
          <w:b/>
          <w:sz w:val="20"/>
        </w:rPr>
        <w:t>Eötvös Loránd Tudományegyetem</w:t>
      </w:r>
    </w:p>
    <w:p w14:paraId="69FEDA8F" w14:textId="77777777" w:rsidR="00C0471F" w:rsidRPr="0038397D" w:rsidRDefault="00C0471F" w:rsidP="00C0471F">
      <w:pPr>
        <w:jc w:val="both"/>
        <w:rPr>
          <w:sz w:val="20"/>
        </w:rPr>
      </w:pPr>
      <w:r w:rsidRPr="0038397D">
        <w:rPr>
          <w:sz w:val="20"/>
        </w:rPr>
        <w:t>1053 Budapest, Egyetem tér 1-3.</w:t>
      </w:r>
    </w:p>
    <w:p w14:paraId="01BD2128" w14:textId="46BDF71D" w:rsidR="00B27FC2" w:rsidRDefault="00D97EC9" w:rsidP="0054016A">
      <w:pPr>
        <w:rPr>
          <w:sz w:val="20"/>
        </w:rPr>
      </w:pPr>
      <w:r w:rsidRPr="00D97EC9">
        <w:rPr>
          <w:b/>
          <w:sz w:val="20"/>
        </w:rPr>
        <w:t>Kapcsolattartó:</w:t>
      </w:r>
      <w:r w:rsidRPr="00D97EC9">
        <w:rPr>
          <w:sz w:val="20"/>
        </w:rPr>
        <w:t xml:space="preserve"> ELTE illetékes Tanulmányi Hivatala</w:t>
      </w:r>
      <w:r w:rsidRPr="00352B3B">
        <w:rPr>
          <w:sz w:val="20"/>
        </w:rPr>
        <w:t xml:space="preserve"> (</w:t>
      </w:r>
      <w:hyperlink r:id="rId8" w:history="1">
        <w:r w:rsidR="00B27FC2" w:rsidRPr="00AD5713">
          <w:rPr>
            <w:rStyle w:val="Hiperhivatkozs"/>
            <w:sz w:val="20"/>
          </w:rPr>
          <w:t>https://www.elte.hu/tanulmanyi_hivatalok</w:t>
        </w:r>
      </w:hyperlink>
      <w:r w:rsidR="00B27FC2">
        <w:rPr>
          <w:sz w:val="20"/>
        </w:rPr>
        <w:t>)</w:t>
      </w:r>
    </w:p>
    <w:p w14:paraId="52A0E83D" w14:textId="77777777" w:rsidR="00591218" w:rsidRPr="00674314" w:rsidRDefault="00591218" w:rsidP="0054016A">
      <w:pPr>
        <w:rPr>
          <w:szCs w:val="24"/>
        </w:rPr>
      </w:pPr>
    </w:p>
    <w:p w14:paraId="1CBD7885" w14:textId="48194685" w:rsidR="00AA32F5" w:rsidRDefault="00AA32F5" w:rsidP="00AA32F5">
      <w:pPr>
        <w:jc w:val="both"/>
        <w:rPr>
          <w:b/>
          <w:sz w:val="20"/>
        </w:rPr>
      </w:pPr>
    </w:p>
    <w:p w14:paraId="47F6760A" w14:textId="6F1B820C" w:rsidR="008D3090" w:rsidRDefault="00A4311B" w:rsidP="00AA32F5">
      <w:pPr>
        <w:pStyle w:val="Listaszerbekezds"/>
        <w:numPr>
          <w:ilvl w:val="0"/>
          <w:numId w:val="12"/>
        </w:numPr>
        <w:jc w:val="both"/>
        <w:rPr>
          <w:rFonts w:ascii="Times New Roman" w:hAnsi="Times New Roman"/>
          <w:b/>
          <w:sz w:val="20"/>
        </w:rPr>
      </w:pPr>
      <w:r>
        <w:rPr>
          <w:rFonts w:ascii="Times New Roman" w:hAnsi="Times New Roman"/>
          <w:b/>
          <w:sz w:val="20"/>
        </w:rPr>
        <w:t>Hallgatói</w:t>
      </w:r>
      <w:r w:rsidR="00E32E3A" w:rsidRPr="004A3E21">
        <w:rPr>
          <w:rFonts w:ascii="Times New Roman" w:hAnsi="Times New Roman"/>
          <w:b/>
          <w:sz w:val="20"/>
        </w:rPr>
        <w:t xml:space="preserve"> jogviszonyával kapcsolatos adatai kezelése</w:t>
      </w:r>
    </w:p>
    <w:p w14:paraId="0D58ECDD" w14:textId="77777777" w:rsidR="006D5C70" w:rsidRPr="006D5C70" w:rsidRDefault="006D5C70" w:rsidP="006D5C70">
      <w:pPr>
        <w:pStyle w:val="Listaszerbekezds"/>
        <w:ind w:left="1080"/>
        <w:jc w:val="both"/>
        <w:rPr>
          <w:rFonts w:ascii="Times New Roman" w:hAnsi="Times New Roman"/>
          <w:b/>
          <w:sz w:val="20"/>
        </w:rPr>
      </w:pPr>
    </w:p>
    <w:tbl>
      <w:tblPr>
        <w:tblStyle w:val="Rcsostblzat"/>
        <w:tblW w:w="0" w:type="auto"/>
        <w:tblInd w:w="108" w:type="dxa"/>
        <w:tblLook w:val="04A0" w:firstRow="1" w:lastRow="0" w:firstColumn="1" w:lastColumn="0" w:noHBand="0" w:noVBand="1"/>
      </w:tblPr>
      <w:tblGrid>
        <w:gridCol w:w="2722"/>
        <w:gridCol w:w="6232"/>
      </w:tblGrid>
      <w:tr w:rsidR="001B1C09" w:rsidRPr="00E770E7" w14:paraId="23E19C19" w14:textId="77777777" w:rsidTr="005F5EE8">
        <w:trPr>
          <w:trHeight w:val="473"/>
        </w:trPr>
        <w:tc>
          <w:tcPr>
            <w:tcW w:w="2776" w:type="dxa"/>
          </w:tcPr>
          <w:p w14:paraId="551B3752"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404" w:type="dxa"/>
          </w:tcPr>
          <w:p w14:paraId="50B8CDE4" w14:textId="29AADEB1" w:rsidR="00883FF9" w:rsidRDefault="00BF5FE1" w:rsidP="00FF5337">
            <w:pPr>
              <w:jc w:val="both"/>
              <w:rPr>
                <w:bCs/>
                <w:sz w:val="20"/>
              </w:rPr>
            </w:pPr>
            <w:r w:rsidRPr="001F1D15">
              <w:rPr>
                <w:bCs/>
                <w:sz w:val="20"/>
              </w:rPr>
              <w:t>A nemzeti felsőoktatásról szóló</w:t>
            </w:r>
            <w:r w:rsidR="008D3090" w:rsidRPr="009C5198">
              <w:rPr>
                <w:bCs/>
                <w:sz w:val="20"/>
              </w:rPr>
              <w:t xml:space="preserve"> </w:t>
            </w:r>
            <w:r w:rsidR="005F5EE8" w:rsidRPr="009C5198">
              <w:rPr>
                <w:bCs/>
                <w:sz w:val="20"/>
              </w:rPr>
              <w:t>2011. évi CCIV. törvény</w:t>
            </w:r>
            <w:r w:rsidRPr="009C5198">
              <w:rPr>
                <w:bCs/>
                <w:sz w:val="20"/>
              </w:rPr>
              <w:t xml:space="preserve"> (Nftv.)</w:t>
            </w:r>
            <w:r w:rsidR="005F5EE8" w:rsidRPr="009C5198">
              <w:rPr>
                <w:bCs/>
                <w:sz w:val="20"/>
              </w:rPr>
              <w:t xml:space="preserve"> 3. melléklet I/B. pontjában foglalt adatok</w:t>
            </w:r>
            <w:r w:rsidR="00BB197E">
              <w:rPr>
                <w:bCs/>
                <w:sz w:val="20"/>
              </w:rPr>
              <w:t xml:space="preserve"> (lásd jelen tájékoztató 2. mellékletében)</w:t>
            </w:r>
            <w:r w:rsidR="00F2024A">
              <w:rPr>
                <w:bCs/>
                <w:sz w:val="20"/>
              </w:rPr>
              <w:t xml:space="preserve">; a hallgatói jogviszony keletkezéséhez, </w:t>
            </w:r>
            <w:r w:rsidR="00EE3D20">
              <w:rPr>
                <w:bCs/>
                <w:sz w:val="20"/>
              </w:rPr>
              <w:t>megszűnéséhez</w:t>
            </w:r>
            <w:r w:rsidR="00571420">
              <w:rPr>
                <w:bCs/>
                <w:sz w:val="20"/>
              </w:rPr>
              <w:t>,</w:t>
            </w:r>
            <w:r w:rsidR="00EE3D20">
              <w:rPr>
                <w:bCs/>
                <w:sz w:val="20"/>
              </w:rPr>
              <w:t xml:space="preserve"> </w:t>
            </w:r>
            <w:r w:rsidR="00F2024A">
              <w:rPr>
                <w:bCs/>
                <w:sz w:val="20"/>
              </w:rPr>
              <w:t>valamint a hallgatói jogviszonyhoz kapcsolódó jogok és kötelezettségek gyakorlásá</w:t>
            </w:r>
            <w:r w:rsidR="00F3479B">
              <w:rPr>
                <w:bCs/>
                <w:sz w:val="20"/>
              </w:rPr>
              <w:t>val/teljesítésével</w:t>
            </w:r>
            <w:r w:rsidR="00C017F7">
              <w:rPr>
                <w:bCs/>
                <w:sz w:val="20"/>
              </w:rPr>
              <w:t xml:space="preserve"> kapcsolatos adatok</w:t>
            </w:r>
            <w:r w:rsidR="00F3479B">
              <w:rPr>
                <w:bCs/>
                <w:sz w:val="20"/>
              </w:rPr>
              <w:t>, beleértve a tanulmány</w:t>
            </w:r>
            <w:r w:rsidR="00C017F7">
              <w:rPr>
                <w:bCs/>
                <w:sz w:val="20"/>
              </w:rPr>
              <w:t>i</w:t>
            </w:r>
            <w:r w:rsidR="00F3479B">
              <w:rPr>
                <w:bCs/>
                <w:sz w:val="20"/>
              </w:rPr>
              <w:t xml:space="preserve"> előmenetellel összefüggő</w:t>
            </w:r>
            <w:r w:rsidR="00F2024A">
              <w:rPr>
                <w:bCs/>
                <w:sz w:val="20"/>
              </w:rPr>
              <w:t xml:space="preserve"> egyéb </w:t>
            </w:r>
            <w:r w:rsidR="00F2024A" w:rsidRPr="00F74B4F">
              <w:rPr>
                <w:bCs/>
                <w:sz w:val="20"/>
              </w:rPr>
              <w:t>adatok</w:t>
            </w:r>
            <w:r w:rsidR="00C017F7" w:rsidRPr="00F74B4F">
              <w:rPr>
                <w:bCs/>
                <w:sz w:val="20"/>
              </w:rPr>
              <w:t>at</w:t>
            </w:r>
            <w:r w:rsidR="00F2024A" w:rsidRPr="00F74B4F">
              <w:rPr>
                <w:bCs/>
                <w:sz w:val="20"/>
              </w:rPr>
              <w:t xml:space="preserve"> (</w:t>
            </w:r>
            <w:r w:rsidR="00B1633C" w:rsidRPr="00F74B4F">
              <w:rPr>
                <w:bCs/>
                <w:sz w:val="20"/>
              </w:rPr>
              <w:t>különösen:</w:t>
            </w:r>
            <w:r w:rsidR="0074089E" w:rsidRPr="00F74B4F">
              <w:rPr>
                <w:bCs/>
                <w:sz w:val="20"/>
              </w:rPr>
              <w:t xml:space="preserve"> </w:t>
            </w:r>
            <w:proofErr w:type="spellStart"/>
            <w:r w:rsidR="00F2024A" w:rsidRPr="00F74B4F">
              <w:rPr>
                <w:bCs/>
                <w:sz w:val="20"/>
              </w:rPr>
              <w:t>Neptun</w:t>
            </w:r>
            <w:proofErr w:type="spellEnd"/>
            <w:r w:rsidR="00F2024A" w:rsidRPr="00F74B4F">
              <w:rPr>
                <w:bCs/>
                <w:sz w:val="20"/>
              </w:rPr>
              <w:t xml:space="preserve"> rendszer</w:t>
            </w:r>
            <w:r w:rsidR="00F2024A">
              <w:rPr>
                <w:bCs/>
                <w:sz w:val="20"/>
              </w:rPr>
              <w:t xml:space="preserve"> használatához szükséges adatok</w:t>
            </w:r>
            <w:r w:rsidR="00890ECA">
              <w:rPr>
                <w:bCs/>
                <w:sz w:val="20"/>
              </w:rPr>
              <w:t>;</w:t>
            </w:r>
            <w:r w:rsidR="00F2024A">
              <w:rPr>
                <w:bCs/>
                <w:sz w:val="20"/>
              </w:rPr>
              <w:t xml:space="preserve"> </w:t>
            </w:r>
            <w:r w:rsidR="001F715B">
              <w:rPr>
                <w:bCs/>
                <w:sz w:val="20"/>
              </w:rPr>
              <w:t xml:space="preserve">egyes </w:t>
            </w:r>
            <w:r w:rsidR="001B37BC">
              <w:rPr>
                <w:bCs/>
                <w:sz w:val="20"/>
              </w:rPr>
              <w:t>hallgatói juttatások</w:t>
            </w:r>
            <w:r w:rsidR="008416E5" w:rsidRPr="00D70552">
              <w:rPr>
                <w:bCs/>
                <w:sz w:val="20"/>
              </w:rPr>
              <w:t>, illetve kivételes tanulmányi rend</w:t>
            </w:r>
            <w:r w:rsidR="006C63CA" w:rsidRPr="00D70552">
              <w:rPr>
                <w:rStyle w:val="Lbjegyzet-hivatkozs"/>
                <w:bCs/>
                <w:sz w:val="20"/>
              </w:rPr>
              <w:footnoteReference w:id="1"/>
            </w:r>
            <w:r w:rsidR="008464B2" w:rsidRPr="00D70552">
              <w:rPr>
                <w:bCs/>
                <w:sz w:val="20"/>
              </w:rPr>
              <w:t xml:space="preserve"> </w:t>
            </w:r>
            <w:r w:rsidR="008464B2" w:rsidRPr="00D70552">
              <w:rPr>
                <w:bCs/>
                <w:sz w:val="20"/>
              </w:rPr>
              <w:t>igénybevételéhez szükséges adatok;</w:t>
            </w:r>
            <w:r w:rsidR="001B37BC" w:rsidRPr="00D70552">
              <w:rPr>
                <w:bCs/>
                <w:sz w:val="20"/>
              </w:rPr>
              <w:t xml:space="preserve"> a</w:t>
            </w:r>
            <w:r w:rsidR="001B37BC">
              <w:rPr>
                <w:bCs/>
                <w:sz w:val="20"/>
              </w:rPr>
              <w:t xml:space="preserve"> hallgatók által fizetendő díjak, térítések</w:t>
            </w:r>
            <w:r w:rsidR="00A232A6">
              <w:rPr>
                <w:bCs/>
                <w:sz w:val="20"/>
              </w:rPr>
              <w:t>, fizetési kötelezettség</w:t>
            </w:r>
            <w:r w:rsidR="00F2024A">
              <w:rPr>
                <w:bCs/>
                <w:sz w:val="20"/>
              </w:rPr>
              <w:t xml:space="preserve"> esetén kifizetéssel, számlázással összefüggő adatok</w:t>
            </w:r>
            <w:r w:rsidR="001B37BC">
              <w:rPr>
                <w:bCs/>
                <w:sz w:val="20"/>
              </w:rPr>
              <w:t xml:space="preserve">; </w:t>
            </w:r>
            <w:r w:rsidR="00D10862">
              <w:rPr>
                <w:bCs/>
                <w:sz w:val="20"/>
              </w:rPr>
              <w:t>a Hallgatói Követelményren</w:t>
            </w:r>
            <w:r w:rsidR="00C73A77">
              <w:rPr>
                <w:bCs/>
                <w:sz w:val="20"/>
              </w:rPr>
              <w:t>d</w:t>
            </w:r>
            <w:r w:rsidR="00D10862">
              <w:rPr>
                <w:bCs/>
                <w:sz w:val="20"/>
              </w:rPr>
              <w:t xml:space="preserve">szer szerinti </w:t>
            </w:r>
            <w:r w:rsidR="001B37BC">
              <w:rPr>
                <w:bCs/>
                <w:sz w:val="20"/>
              </w:rPr>
              <w:t>hallgatói ügyekben történő eljárás</w:t>
            </w:r>
            <w:r w:rsidR="00A232A6">
              <w:rPr>
                <w:bCs/>
                <w:sz w:val="20"/>
              </w:rPr>
              <w:t>hoz</w:t>
            </w:r>
            <w:r w:rsidR="00D10862">
              <w:rPr>
                <w:bCs/>
                <w:sz w:val="20"/>
              </w:rPr>
              <w:t>, valamint a fegyelmi és kártérítési eljáráshoz</w:t>
            </w:r>
            <w:r w:rsidR="00A232A6">
              <w:rPr>
                <w:bCs/>
                <w:sz w:val="20"/>
              </w:rPr>
              <w:t xml:space="preserve"> kapcsolódó adatok</w:t>
            </w:r>
            <w:r w:rsidR="007703EA">
              <w:rPr>
                <w:bCs/>
                <w:sz w:val="20"/>
              </w:rPr>
              <w:t>)</w:t>
            </w:r>
            <w:r w:rsidR="00A82BDD">
              <w:rPr>
                <w:bCs/>
                <w:sz w:val="20"/>
              </w:rPr>
              <w:t>.</w:t>
            </w:r>
          </w:p>
          <w:p w14:paraId="10262EE4" w14:textId="18ECD51F" w:rsidR="00FF5337" w:rsidRPr="00363BED" w:rsidRDefault="00FF5337" w:rsidP="00FF5337">
            <w:pPr>
              <w:jc w:val="both"/>
              <w:rPr>
                <w:bCs/>
                <w:sz w:val="20"/>
              </w:rPr>
            </w:pPr>
          </w:p>
        </w:tc>
      </w:tr>
      <w:tr w:rsidR="001B1C09" w:rsidRPr="00E770E7" w14:paraId="2A4DFF64" w14:textId="77777777" w:rsidTr="00173244">
        <w:tc>
          <w:tcPr>
            <w:tcW w:w="2776" w:type="dxa"/>
          </w:tcPr>
          <w:p w14:paraId="212E388F"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Adatkezelés célja</w:t>
            </w:r>
          </w:p>
        </w:tc>
        <w:tc>
          <w:tcPr>
            <w:tcW w:w="6404" w:type="dxa"/>
          </w:tcPr>
          <w:p w14:paraId="053C98C0" w14:textId="403FA0E6" w:rsidR="005F5EE8" w:rsidRPr="001F1D15" w:rsidRDefault="00BF5FE1" w:rsidP="00FF5337">
            <w:pPr>
              <w:jc w:val="both"/>
              <w:rPr>
                <w:bCs/>
                <w:sz w:val="20"/>
              </w:rPr>
            </w:pPr>
            <w:r>
              <w:rPr>
                <w:bCs/>
                <w:sz w:val="20"/>
              </w:rPr>
              <w:t xml:space="preserve">Az </w:t>
            </w:r>
            <w:r w:rsidR="005F5EE8" w:rsidRPr="001F1D15">
              <w:rPr>
                <w:bCs/>
                <w:sz w:val="20"/>
              </w:rPr>
              <w:t>Nftv. 18. §</w:t>
            </w:r>
            <w:r w:rsidR="0054016A">
              <w:rPr>
                <w:bCs/>
                <w:sz w:val="20"/>
              </w:rPr>
              <w:t xml:space="preserve"> (1) </w:t>
            </w:r>
            <w:proofErr w:type="spellStart"/>
            <w:r w:rsidR="0054016A">
              <w:rPr>
                <w:bCs/>
                <w:sz w:val="20"/>
              </w:rPr>
              <w:t>bek</w:t>
            </w:r>
            <w:proofErr w:type="spellEnd"/>
            <w:r w:rsidR="0054016A">
              <w:rPr>
                <w:bCs/>
                <w:sz w:val="20"/>
              </w:rPr>
              <w:t xml:space="preserve">. </w:t>
            </w:r>
            <w:proofErr w:type="gramStart"/>
            <w:r w:rsidR="0054016A">
              <w:rPr>
                <w:bCs/>
                <w:sz w:val="20"/>
              </w:rPr>
              <w:t>a)-</w:t>
            </w:r>
            <w:proofErr w:type="gramEnd"/>
            <w:r w:rsidR="0054016A">
              <w:rPr>
                <w:bCs/>
                <w:sz w:val="20"/>
              </w:rPr>
              <w:t>f) pontjának</w:t>
            </w:r>
            <w:r w:rsidR="00743569">
              <w:rPr>
                <w:bCs/>
                <w:sz w:val="20"/>
              </w:rPr>
              <w:t xml:space="preserve"> </w:t>
            </w:r>
            <w:r w:rsidR="005F5EE8" w:rsidRPr="001F1D15">
              <w:rPr>
                <w:bCs/>
                <w:sz w:val="20"/>
              </w:rPr>
              <w:t>megfelelően:</w:t>
            </w:r>
          </w:p>
          <w:p w14:paraId="725AEBB0" w14:textId="77777777" w:rsidR="008D3090" w:rsidRDefault="005F5EE8" w:rsidP="00FF5337">
            <w:pPr>
              <w:spacing w:after="20"/>
              <w:jc w:val="both"/>
              <w:rPr>
                <w:color w:val="000000"/>
                <w:sz w:val="20"/>
              </w:rPr>
            </w:pPr>
            <w:r w:rsidRPr="001F1D15">
              <w:rPr>
                <w:color w:val="000000"/>
                <w:sz w:val="20"/>
              </w:rPr>
              <w:t>az intézm</w:t>
            </w:r>
            <w:r w:rsidR="00EA5AD9">
              <w:rPr>
                <w:color w:val="000000"/>
                <w:sz w:val="20"/>
              </w:rPr>
              <w:t xml:space="preserve">ény rendeltetésszerű működésének, </w:t>
            </w:r>
            <w:r w:rsidRPr="001F1D15">
              <w:rPr>
                <w:color w:val="000000"/>
                <w:sz w:val="20"/>
              </w:rPr>
              <w:t xml:space="preserve">a </w:t>
            </w:r>
            <w:r w:rsidR="00EA5AD9">
              <w:rPr>
                <w:color w:val="000000"/>
                <w:sz w:val="20"/>
              </w:rPr>
              <w:t>hallgatói jogok gyakorlásának</w:t>
            </w:r>
            <w:r w:rsidRPr="001F1D15">
              <w:rPr>
                <w:color w:val="000000"/>
                <w:sz w:val="20"/>
              </w:rPr>
              <w:t xml:space="preserve"> és kötel</w:t>
            </w:r>
            <w:r w:rsidR="00EA5AD9">
              <w:rPr>
                <w:color w:val="000000"/>
                <w:sz w:val="20"/>
              </w:rPr>
              <w:t>ezettségeik teljesítésének biztosítása</w:t>
            </w:r>
            <w:r w:rsidRPr="001F1D15">
              <w:rPr>
                <w:color w:val="000000"/>
                <w:sz w:val="20"/>
              </w:rPr>
              <w:t xml:space="preserve">; a </w:t>
            </w:r>
            <w:r w:rsidR="00EA5AD9">
              <w:rPr>
                <w:color w:val="000000"/>
                <w:sz w:val="20"/>
              </w:rPr>
              <w:t>képzés, kutatás megszervezése</w:t>
            </w:r>
            <w:r w:rsidRPr="001F1D15">
              <w:rPr>
                <w:color w:val="000000"/>
                <w:sz w:val="20"/>
              </w:rPr>
              <w:t>;</w:t>
            </w:r>
            <w:r w:rsidR="000C03B6">
              <w:rPr>
                <w:color w:val="000000"/>
                <w:sz w:val="20"/>
              </w:rPr>
              <w:t xml:space="preserve"> </w:t>
            </w:r>
            <w:r w:rsidRPr="001F1D15">
              <w:rPr>
                <w:color w:val="000000"/>
                <w:sz w:val="20"/>
              </w:rPr>
              <w:t>a jogszabályokban meghatáro</w:t>
            </w:r>
            <w:r w:rsidR="00EA5AD9">
              <w:rPr>
                <w:color w:val="000000"/>
                <w:sz w:val="20"/>
              </w:rPr>
              <w:t>zott nyilvántartások vezetése</w:t>
            </w:r>
            <w:r w:rsidRPr="001F1D15">
              <w:rPr>
                <w:i/>
                <w:iCs/>
                <w:color w:val="000000"/>
                <w:sz w:val="20"/>
              </w:rPr>
              <w:t xml:space="preserve">; </w:t>
            </w:r>
            <w:r w:rsidRPr="001F1D15">
              <w:rPr>
                <w:color w:val="000000"/>
                <w:sz w:val="20"/>
              </w:rPr>
              <w:t xml:space="preserve">a jogszabályokban és a felsőoktatási intézmény szervezeti és működési szabályzatában biztosított kedvezményekre való jogosultság </w:t>
            </w:r>
            <w:r w:rsidR="00EA5AD9">
              <w:rPr>
                <w:color w:val="000000"/>
                <w:sz w:val="20"/>
              </w:rPr>
              <w:t>megállapítása, elbírálása</w:t>
            </w:r>
            <w:r w:rsidRPr="001F1D15">
              <w:rPr>
                <w:color w:val="000000"/>
                <w:sz w:val="20"/>
              </w:rPr>
              <w:t xml:space="preserve"> és igazolás</w:t>
            </w:r>
            <w:r w:rsidR="000B7741">
              <w:rPr>
                <w:color w:val="000000"/>
                <w:sz w:val="20"/>
              </w:rPr>
              <w:t>a.</w:t>
            </w:r>
          </w:p>
          <w:p w14:paraId="42AAB77D" w14:textId="17DF7367" w:rsidR="00FF5337" w:rsidRPr="00E770E7" w:rsidRDefault="00FF5337" w:rsidP="00FF5337">
            <w:pPr>
              <w:spacing w:after="20"/>
              <w:jc w:val="both"/>
              <w:rPr>
                <w:bCs/>
                <w:sz w:val="20"/>
              </w:rPr>
            </w:pPr>
          </w:p>
        </w:tc>
      </w:tr>
      <w:tr w:rsidR="001B1C09" w:rsidRPr="00E770E7" w14:paraId="052F324F" w14:textId="77777777" w:rsidTr="00173244">
        <w:tc>
          <w:tcPr>
            <w:tcW w:w="2776" w:type="dxa"/>
          </w:tcPr>
          <w:p w14:paraId="0D4B7606"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404" w:type="dxa"/>
          </w:tcPr>
          <w:p w14:paraId="22FB7DBA" w14:textId="16F90ED4" w:rsidR="00C17D68" w:rsidRDefault="008D3090" w:rsidP="00FF5337">
            <w:pPr>
              <w:jc w:val="both"/>
              <w:rPr>
                <w:sz w:val="20"/>
              </w:rPr>
            </w:pPr>
            <w:r w:rsidRPr="00D84C7B">
              <w:rPr>
                <w:bCs/>
                <w:sz w:val="20"/>
              </w:rPr>
              <w:t>GDPR 6. cikk (1)</w:t>
            </w:r>
            <w:r w:rsidR="002729B1">
              <w:rPr>
                <w:bCs/>
                <w:sz w:val="20"/>
              </w:rPr>
              <w:t xml:space="preserve"> bekezdés</w:t>
            </w:r>
            <w:r w:rsidRPr="00E770E7">
              <w:rPr>
                <w:b/>
                <w:bCs/>
                <w:sz w:val="20"/>
              </w:rPr>
              <w:t xml:space="preserve"> </w:t>
            </w:r>
            <w:r w:rsidR="007703EA">
              <w:rPr>
                <w:bCs/>
                <w:sz w:val="20"/>
              </w:rPr>
              <w:t>e</w:t>
            </w:r>
            <w:r w:rsidR="00F14787" w:rsidRPr="00A21ED5">
              <w:rPr>
                <w:bCs/>
                <w:sz w:val="20"/>
              </w:rPr>
              <w:t>)</w:t>
            </w:r>
            <w:r w:rsidR="00A21ED5">
              <w:rPr>
                <w:bCs/>
                <w:sz w:val="20"/>
              </w:rPr>
              <w:t xml:space="preserve"> </w:t>
            </w:r>
            <w:r w:rsidR="00A21ED5" w:rsidRPr="00A21ED5">
              <w:rPr>
                <w:bCs/>
                <w:sz w:val="20"/>
              </w:rPr>
              <w:t>pont</w:t>
            </w:r>
            <w:r w:rsidR="00B27FC2">
              <w:rPr>
                <w:bCs/>
                <w:sz w:val="20"/>
              </w:rPr>
              <w:t>ja</w:t>
            </w:r>
            <w:r w:rsidR="00F14787" w:rsidRPr="00A21ED5">
              <w:rPr>
                <w:bCs/>
                <w:sz w:val="20"/>
              </w:rPr>
              <w:t xml:space="preserve"> -</w:t>
            </w:r>
            <w:r w:rsidR="00C017F7">
              <w:rPr>
                <w:bCs/>
                <w:sz w:val="20"/>
              </w:rPr>
              <w:t xml:space="preserve"> </w:t>
            </w:r>
            <w:r w:rsidR="007703EA">
              <w:rPr>
                <w:sz w:val="20"/>
              </w:rPr>
              <w:t>az adatkezelés közérdekű feladat végrehajtása (oktatási alaptevékenység folytatása) érdekében szükséges</w:t>
            </w:r>
            <w:r w:rsidR="005F5EE8">
              <w:rPr>
                <w:sz w:val="20"/>
              </w:rPr>
              <w:t xml:space="preserve">. </w:t>
            </w:r>
          </w:p>
          <w:p w14:paraId="3D82E3F3" w14:textId="1F5F1959" w:rsidR="00883FF9" w:rsidRDefault="00883FF9" w:rsidP="00FF5337">
            <w:pPr>
              <w:jc w:val="both"/>
              <w:rPr>
                <w:sz w:val="20"/>
              </w:rPr>
            </w:pPr>
          </w:p>
          <w:p w14:paraId="3F51CABC" w14:textId="68C4DCB9" w:rsidR="001B7C9C" w:rsidRDefault="00426AEC" w:rsidP="00FF5337">
            <w:pPr>
              <w:jc w:val="both"/>
              <w:rPr>
                <w:sz w:val="20"/>
              </w:rPr>
            </w:pPr>
            <w:r>
              <w:rPr>
                <w:sz w:val="20"/>
              </w:rPr>
              <w:t>Az</w:t>
            </w:r>
            <w:r w:rsidR="00B110F4">
              <w:rPr>
                <w:sz w:val="20"/>
              </w:rPr>
              <w:t xml:space="preserve"> </w:t>
            </w:r>
            <w:r w:rsidR="00B110F4" w:rsidRPr="00F74B4F">
              <w:rPr>
                <w:sz w:val="20"/>
              </w:rPr>
              <w:t xml:space="preserve">Egyetem </w:t>
            </w:r>
            <w:r w:rsidR="00FF5337" w:rsidRPr="00F74B4F">
              <w:rPr>
                <w:sz w:val="20"/>
              </w:rPr>
              <w:t xml:space="preserve">a hallgató, és adott esetben a hallgatóval egy háztartásban élő személy </w:t>
            </w:r>
            <w:r w:rsidRPr="00F74B4F">
              <w:rPr>
                <w:sz w:val="20"/>
              </w:rPr>
              <w:t xml:space="preserve">egészségügyi </w:t>
            </w:r>
            <w:r w:rsidR="00FF5337" w:rsidRPr="00F74B4F">
              <w:rPr>
                <w:sz w:val="20"/>
              </w:rPr>
              <w:t>adatait, tehát különleges adatokat</w:t>
            </w:r>
            <w:r w:rsidRPr="00F74B4F">
              <w:rPr>
                <w:sz w:val="20"/>
              </w:rPr>
              <w:t xml:space="preserve"> </w:t>
            </w:r>
            <w:r w:rsidR="00D35764" w:rsidRPr="00F74B4F">
              <w:rPr>
                <w:sz w:val="20"/>
              </w:rPr>
              <w:t>is kezel</w:t>
            </w:r>
            <w:r w:rsidR="00FF5337" w:rsidRPr="00F74B4F">
              <w:rPr>
                <w:sz w:val="20"/>
              </w:rPr>
              <w:t>,</w:t>
            </w:r>
            <w:r w:rsidR="00FF5337">
              <w:rPr>
                <w:sz w:val="20"/>
              </w:rPr>
              <w:t xml:space="preserve"> </w:t>
            </w:r>
            <w:r>
              <w:rPr>
                <w:sz w:val="20"/>
              </w:rPr>
              <w:t>a</w:t>
            </w:r>
            <w:r w:rsidR="00B110F4">
              <w:rPr>
                <w:sz w:val="20"/>
              </w:rPr>
              <w:t xml:space="preserve"> </w:t>
            </w:r>
            <w:r w:rsidR="00D35764" w:rsidRPr="00D84C7B">
              <w:rPr>
                <w:bCs/>
                <w:sz w:val="20"/>
              </w:rPr>
              <w:t>GDPR 6. cikk (1)</w:t>
            </w:r>
            <w:r w:rsidR="00D35764">
              <w:rPr>
                <w:bCs/>
                <w:sz w:val="20"/>
              </w:rPr>
              <w:t xml:space="preserve"> bekezdés</w:t>
            </w:r>
            <w:r w:rsidR="00D35764" w:rsidRPr="00E770E7">
              <w:rPr>
                <w:b/>
                <w:bCs/>
                <w:sz w:val="20"/>
              </w:rPr>
              <w:t xml:space="preserve"> </w:t>
            </w:r>
            <w:r w:rsidR="00D35764">
              <w:rPr>
                <w:bCs/>
                <w:sz w:val="20"/>
              </w:rPr>
              <w:t>e</w:t>
            </w:r>
            <w:r w:rsidR="00D35764" w:rsidRPr="00A21ED5">
              <w:rPr>
                <w:bCs/>
                <w:sz w:val="20"/>
              </w:rPr>
              <w:t>)</w:t>
            </w:r>
            <w:r w:rsidR="00D35764">
              <w:rPr>
                <w:bCs/>
                <w:sz w:val="20"/>
              </w:rPr>
              <w:t xml:space="preserve"> </w:t>
            </w:r>
            <w:r w:rsidR="00D35764" w:rsidRPr="00A21ED5">
              <w:rPr>
                <w:bCs/>
                <w:sz w:val="20"/>
              </w:rPr>
              <w:t xml:space="preserve">pont </w:t>
            </w:r>
            <w:r w:rsidR="00D35764">
              <w:rPr>
                <w:bCs/>
                <w:sz w:val="20"/>
              </w:rPr>
              <w:t xml:space="preserve">és a </w:t>
            </w:r>
            <w:r w:rsidR="00D35764">
              <w:rPr>
                <w:sz w:val="20"/>
              </w:rPr>
              <w:t>GDPR 9. cikk (2) bekezdés f) pontja</w:t>
            </w:r>
            <w:r w:rsidR="00D35764">
              <w:rPr>
                <w:rStyle w:val="Lbjegyzet-hivatkozs"/>
                <w:sz w:val="20"/>
              </w:rPr>
              <w:footnoteReference w:id="2"/>
            </w:r>
            <w:r w:rsidR="00D35764">
              <w:rPr>
                <w:sz w:val="20"/>
              </w:rPr>
              <w:t>, az alkalmassági vizsgálatok esetében pedig a 9. cikk (2) h)</w:t>
            </w:r>
            <w:r w:rsidR="00D35764">
              <w:rPr>
                <w:rStyle w:val="Lbjegyzet-hivatkozs"/>
                <w:sz w:val="20"/>
              </w:rPr>
              <w:footnoteReference w:id="3"/>
            </w:r>
            <w:r w:rsidR="00D35764">
              <w:rPr>
                <w:sz w:val="20"/>
              </w:rPr>
              <w:t xml:space="preserve"> pontja szerinti kiegészítés alapján. </w:t>
            </w:r>
            <w:r w:rsidR="00FF5337">
              <w:rPr>
                <w:sz w:val="20"/>
              </w:rPr>
              <w:t>Ilyen adatok kezelésére k</w:t>
            </w:r>
            <w:r w:rsidR="00D35764">
              <w:rPr>
                <w:sz w:val="20"/>
              </w:rPr>
              <w:t>ülönösen</w:t>
            </w:r>
            <w:r w:rsidR="00FF5337">
              <w:rPr>
                <w:sz w:val="20"/>
              </w:rPr>
              <w:t xml:space="preserve"> </w:t>
            </w:r>
            <w:r w:rsidR="002D3C69">
              <w:rPr>
                <w:sz w:val="20"/>
              </w:rPr>
              <w:t>hiányzás okának</w:t>
            </w:r>
            <w:r w:rsidR="001B1C09">
              <w:rPr>
                <w:sz w:val="20"/>
              </w:rPr>
              <w:t xml:space="preserve"> </w:t>
            </w:r>
            <w:r w:rsidR="001B1C09">
              <w:rPr>
                <w:sz w:val="20"/>
              </w:rPr>
              <w:lastRenderedPageBreak/>
              <w:t xml:space="preserve">igazolása esetében, </w:t>
            </w:r>
            <w:r w:rsidR="001B1C09" w:rsidRPr="001B1C09">
              <w:rPr>
                <w:sz w:val="20"/>
              </w:rPr>
              <w:t>hallgatói ügyekben való eljárás során, kivételes tanulmányi rend engedélyezéséhez, kollégiumi tagsági jogviszony felfüggesztés</w:t>
            </w:r>
            <w:r w:rsidR="001B1C09">
              <w:rPr>
                <w:sz w:val="20"/>
              </w:rPr>
              <w:t xml:space="preserve">e, illetve </w:t>
            </w:r>
            <w:r w:rsidR="001B1C09" w:rsidRPr="001B1C09">
              <w:rPr>
                <w:sz w:val="20"/>
              </w:rPr>
              <w:t>költségtérítés/önköltség összege csökkentése iránti kérelem esetén, egyes karok esetében vizsgára vagy kurzusfelvételre</w:t>
            </w:r>
            <w:r w:rsidR="00D35764">
              <w:rPr>
                <w:sz w:val="20"/>
              </w:rPr>
              <w:t>, illetve egyéb</w:t>
            </w:r>
            <w:r w:rsidR="001B1C09" w:rsidRPr="001B1C09">
              <w:rPr>
                <w:sz w:val="20"/>
              </w:rPr>
              <w:t xml:space="preserve"> méltányossági kérelem elbírálásához</w:t>
            </w:r>
            <w:r w:rsidR="00FF5337">
              <w:rPr>
                <w:sz w:val="20"/>
              </w:rPr>
              <w:t xml:space="preserve"> kerül sor</w:t>
            </w:r>
            <w:r w:rsidR="00D35764">
              <w:rPr>
                <w:sz w:val="20"/>
              </w:rPr>
              <w:t>.</w:t>
            </w:r>
            <w:r w:rsidR="002D3C69">
              <w:rPr>
                <w:sz w:val="20"/>
              </w:rPr>
              <w:t xml:space="preserve"> </w:t>
            </w:r>
          </w:p>
          <w:p w14:paraId="5C8D9709" w14:textId="0963EC99" w:rsidR="000D31CD" w:rsidRDefault="000D31CD" w:rsidP="00BA4559">
            <w:pPr>
              <w:rPr>
                <w:sz w:val="20"/>
              </w:rPr>
            </w:pPr>
          </w:p>
          <w:p w14:paraId="4448CF4C" w14:textId="77777777" w:rsidR="000D31CD" w:rsidRDefault="000D31CD" w:rsidP="00EA7C13">
            <w:pPr>
              <w:pStyle w:val="Listaszerbekezds"/>
              <w:spacing w:after="0" w:line="240" w:lineRule="auto"/>
              <w:ind w:left="0"/>
              <w:jc w:val="both"/>
              <w:rPr>
                <w:rFonts w:ascii="Times New Roman" w:hAnsi="Times New Roman"/>
                <w:sz w:val="20"/>
                <w:szCs w:val="20"/>
              </w:rPr>
            </w:pPr>
            <w:r>
              <w:rPr>
                <w:rFonts w:ascii="Times New Roman" w:hAnsi="Times New Roman"/>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Pr>
                <w:rFonts w:ascii="Times New Roman" w:hAnsi="Times New Roman"/>
                <w:sz w:val="20"/>
                <w:szCs w:val="20"/>
              </w:rPr>
              <w:t>erejű</w:t>
            </w:r>
            <w:proofErr w:type="spellEnd"/>
            <w:r>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673C08EC" w14:textId="0B868FD7" w:rsidR="00CB4C26" w:rsidRPr="00462091" w:rsidRDefault="00CB4C26" w:rsidP="00EA7C13">
            <w:pPr>
              <w:pStyle w:val="Listaszerbekezds"/>
              <w:spacing w:after="0" w:line="240" w:lineRule="auto"/>
              <w:ind w:left="0"/>
              <w:jc w:val="both"/>
              <w:rPr>
                <w:sz w:val="20"/>
              </w:rPr>
            </w:pPr>
          </w:p>
        </w:tc>
      </w:tr>
      <w:tr w:rsidR="001B1C09" w:rsidRPr="00A220B3" w14:paraId="6373043C" w14:textId="77777777" w:rsidTr="00FF5337">
        <w:tc>
          <w:tcPr>
            <w:tcW w:w="2776" w:type="dxa"/>
          </w:tcPr>
          <w:p w14:paraId="7EA9BBBD" w14:textId="77777777" w:rsidR="008D3090" w:rsidRPr="00A220B3" w:rsidRDefault="008D3090" w:rsidP="00173244">
            <w:pPr>
              <w:pStyle w:val="Listaszerbekezds"/>
              <w:ind w:left="0"/>
              <w:jc w:val="both"/>
              <w:rPr>
                <w:rFonts w:ascii="Times New Roman" w:hAnsi="Times New Roman"/>
                <w:b/>
                <w:bCs/>
                <w:sz w:val="20"/>
                <w:szCs w:val="20"/>
              </w:rPr>
            </w:pPr>
            <w:r w:rsidRPr="00A220B3">
              <w:rPr>
                <w:rFonts w:ascii="Times New Roman" w:hAnsi="Times New Roman"/>
                <w:b/>
                <w:bCs/>
                <w:sz w:val="20"/>
                <w:szCs w:val="20"/>
              </w:rPr>
              <w:lastRenderedPageBreak/>
              <w:t>Időtartam</w:t>
            </w:r>
          </w:p>
        </w:tc>
        <w:tc>
          <w:tcPr>
            <w:tcW w:w="6404" w:type="dxa"/>
            <w:shd w:val="clear" w:color="auto" w:fill="auto"/>
          </w:tcPr>
          <w:p w14:paraId="5C969503" w14:textId="77777777" w:rsidR="008D3090" w:rsidRDefault="00F93B7F">
            <w:pPr>
              <w:pStyle w:val="Jegyzetszveg"/>
              <w:rPr>
                <w:bCs/>
              </w:rPr>
            </w:pPr>
            <w:r w:rsidRPr="00BA4559">
              <w:rPr>
                <w:bCs/>
              </w:rPr>
              <w:t xml:space="preserve">Az Nftv. 3. melléklet I/B. </w:t>
            </w:r>
            <w:r w:rsidR="00D96588" w:rsidRPr="00BA4559">
              <w:rPr>
                <w:bCs/>
              </w:rPr>
              <w:t xml:space="preserve">3. </w:t>
            </w:r>
            <w:r w:rsidRPr="00BA4559">
              <w:rPr>
                <w:bCs/>
              </w:rPr>
              <w:t>pontja értelmében a hallgatói jogviszony megszűnésére vonatkozó bejelentéstől számított nyolcvan évig.</w:t>
            </w:r>
            <w:r w:rsidR="00CA0B89">
              <w:rPr>
                <w:bCs/>
              </w:rPr>
              <w:t xml:space="preserve"> </w:t>
            </w:r>
            <w:r w:rsidR="00B50506">
              <w:rPr>
                <w:bCs/>
              </w:rPr>
              <w:t>Ld. az Nftv. 59. §-ban felsorolt eseteket.</w:t>
            </w:r>
          </w:p>
          <w:p w14:paraId="509446F5" w14:textId="64E26702" w:rsidR="00FF5337" w:rsidRPr="00860071" w:rsidRDefault="00FF5337">
            <w:pPr>
              <w:pStyle w:val="Jegyzetszveg"/>
              <w:rPr>
                <w:b/>
                <w:bCs/>
              </w:rPr>
            </w:pPr>
          </w:p>
        </w:tc>
      </w:tr>
      <w:tr w:rsidR="001B1C09" w:rsidRPr="00A220B3" w14:paraId="3803846B" w14:textId="77777777" w:rsidTr="00173244">
        <w:tc>
          <w:tcPr>
            <w:tcW w:w="2776" w:type="dxa"/>
          </w:tcPr>
          <w:p w14:paraId="4E766CD4" w14:textId="77777777" w:rsidR="008D3090" w:rsidRPr="00A220B3" w:rsidRDefault="008D3090" w:rsidP="00173244">
            <w:pPr>
              <w:pStyle w:val="Listaszerbekezds"/>
              <w:ind w:left="0"/>
              <w:jc w:val="both"/>
              <w:rPr>
                <w:rFonts w:ascii="Times New Roman" w:hAnsi="Times New Roman"/>
                <w:b/>
                <w:bCs/>
                <w:sz w:val="20"/>
                <w:szCs w:val="20"/>
              </w:rPr>
            </w:pPr>
            <w:r w:rsidRPr="00A220B3">
              <w:rPr>
                <w:rFonts w:ascii="Times New Roman" w:hAnsi="Times New Roman"/>
                <w:b/>
                <w:bCs/>
                <w:sz w:val="20"/>
                <w:szCs w:val="20"/>
              </w:rPr>
              <w:t>Adatfeldolgozó</w:t>
            </w:r>
          </w:p>
        </w:tc>
        <w:tc>
          <w:tcPr>
            <w:tcW w:w="6404" w:type="dxa"/>
          </w:tcPr>
          <w:p w14:paraId="68D5F77A" w14:textId="7C8CA9FD" w:rsidR="00D96588" w:rsidRPr="00C30962" w:rsidRDefault="007A1025" w:rsidP="00D96588">
            <w:pPr>
              <w:jc w:val="both"/>
              <w:rPr>
                <w:i/>
                <w:sz w:val="20"/>
              </w:rPr>
            </w:pPr>
            <w:r>
              <w:rPr>
                <w:sz w:val="20"/>
              </w:rPr>
              <w:t xml:space="preserve">NEPTUN </w:t>
            </w:r>
            <w:r w:rsidR="00176F39">
              <w:rPr>
                <w:sz w:val="20"/>
              </w:rPr>
              <w:t xml:space="preserve">és </w:t>
            </w:r>
            <w:r w:rsidR="00176F39">
              <w:rPr>
                <w:bCs/>
                <w:sz w:val="20"/>
              </w:rPr>
              <w:t>az EVOP portál</w:t>
            </w:r>
            <w:r w:rsidR="00067571">
              <w:rPr>
                <w:rStyle w:val="Lbjegyzet-hivatkozs"/>
                <w:bCs/>
                <w:sz w:val="20"/>
              </w:rPr>
              <w:footnoteReference w:id="4"/>
            </w:r>
            <w:r w:rsidR="00176F39">
              <w:rPr>
                <w:sz w:val="20"/>
              </w:rPr>
              <w:t xml:space="preserve"> </w:t>
            </w:r>
            <w:r>
              <w:rPr>
                <w:sz w:val="20"/>
              </w:rPr>
              <w:t>üzemeltetője</w:t>
            </w:r>
            <w:r w:rsidR="00345482">
              <w:rPr>
                <w:sz w:val="20"/>
              </w:rPr>
              <w:t>,</w:t>
            </w:r>
            <w:r w:rsidR="00176F39">
              <w:rPr>
                <w:sz w:val="20"/>
              </w:rPr>
              <w:t xml:space="preserve"> </w:t>
            </w:r>
            <w:r w:rsidR="009E3A91">
              <w:rPr>
                <w:bCs/>
                <w:sz w:val="20"/>
              </w:rPr>
              <w:t xml:space="preserve">azaz </w:t>
            </w:r>
            <w:r w:rsidR="00D12612">
              <w:rPr>
                <w:bCs/>
                <w:sz w:val="20"/>
              </w:rPr>
              <w:t xml:space="preserve">a Campus </w:t>
            </w:r>
            <w:proofErr w:type="spellStart"/>
            <w:r w:rsidR="00D12612">
              <w:rPr>
                <w:bCs/>
                <w:sz w:val="20"/>
              </w:rPr>
              <w:t>Codeworks</w:t>
            </w:r>
            <w:proofErr w:type="spellEnd"/>
            <w:r w:rsidR="009E3A91">
              <w:rPr>
                <w:bCs/>
                <w:sz w:val="20"/>
              </w:rPr>
              <w:t xml:space="preserve"> Zrt</w:t>
            </w:r>
            <w:r w:rsidR="00345482">
              <w:rPr>
                <w:bCs/>
                <w:sz w:val="20"/>
              </w:rPr>
              <w:t>.</w:t>
            </w:r>
          </w:p>
          <w:p w14:paraId="10DE4F69" w14:textId="08BA99F4" w:rsidR="009172D4" w:rsidRDefault="00C30962" w:rsidP="00D96588">
            <w:pPr>
              <w:jc w:val="both"/>
              <w:rPr>
                <w:sz w:val="20"/>
              </w:rPr>
            </w:pPr>
            <w:r>
              <w:rPr>
                <w:sz w:val="20"/>
              </w:rPr>
              <w:t>E-</w:t>
            </w:r>
            <w:proofErr w:type="spellStart"/>
            <w:r>
              <w:rPr>
                <w:sz w:val="20"/>
              </w:rPr>
              <w:t>learning</w:t>
            </w:r>
            <w:proofErr w:type="spellEnd"/>
            <w:r>
              <w:rPr>
                <w:sz w:val="20"/>
              </w:rPr>
              <w:t xml:space="preserve"> rendszerek (</w:t>
            </w:r>
            <w:r w:rsidR="00FB5287">
              <w:rPr>
                <w:sz w:val="20"/>
              </w:rPr>
              <w:t>úgy</w:t>
            </w:r>
            <w:r w:rsidR="00FF5337">
              <w:rPr>
                <w:sz w:val="20"/>
              </w:rPr>
              <w:t>,</w:t>
            </w:r>
            <w:r w:rsidR="00FB5287">
              <w:rPr>
                <w:sz w:val="20"/>
              </w:rPr>
              <w:t xml:space="preserve"> mint </w:t>
            </w:r>
            <w:proofErr w:type="spellStart"/>
            <w:r w:rsidR="009172D4" w:rsidRPr="00C30962">
              <w:rPr>
                <w:sz w:val="20"/>
              </w:rPr>
              <w:t>Moodle</w:t>
            </w:r>
            <w:proofErr w:type="spellEnd"/>
            <w:r>
              <w:rPr>
                <w:sz w:val="20"/>
              </w:rPr>
              <w:t xml:space="preserve">, </w:t>
            </w:r>
            <w:proofErr w:type="spellStart"/>
            <w:r w:rsidR="009172D4" w:rsidRPr="00C30962">
              <w:rPr>
                <w:sz w:val="20"/>
              </w:rPr>
              <w:t>Canvas</w:t>
            </w:r>
            <w:proofErr w:type="spellEnd"/>
            <w:r w:rsidR="007A1025">
              <w:rPr>
                <w:sz w:val="20"/>
              </w:rPr>
              <w:t xml:space="preserve">, </w:t>
            </w:r>
            <w:proofErr w:type="spellStart"/>
            <w:r w:rsidR="007A1025">
              <w:rPr>
                <w:sz w:val="20"/>
              </w:rPr>
              <w:t>Co</w:t>
            </w:r>
            <w:r w:rsidR="006872B3">
              <w:rPr>
                <w:sz w:val="20"/>
              </w:rPr>
              <w:t>oS</w:t>
            </w:r>
            <w:r w:rsidR="007A1025">
              <w:rPr>
                <w:sz w:val="20"/>
              </w:rPr>
              <w:t>pace</w:t>
            </w:r>
            <w:proofErr w:type="spellEnd"/>
            <w:r>
              <w:rPr>
                <w:sz w:val="20"/>
              </w:rPr>
              <w:t>)</w:t>
            </w:r>
            <w:r w:rsidR="007A1025">
              <w:rPr>
                <w:sz w:val="20"/>
              </w:rPr>
              <w:t xml:space="preserve"> fejlesztője</w:t>
            </w:r>
            <w:r w:rsidR="00803F3C">
              <w:rPr>
                <w:sz w:val="20"/>
              </w:rPr>
              <w:t>/üzemeltetője</w:t>
            </w:r>
            <w:r w:rsidR="00A82BDD">
              <w:rPr>
                <w:sz w:val="20"/>
              </w:rPr>
              <w:t>;</w:t>
            </w:r>
          </w:p>
          <w:p w14:paraId="526E19D8" w14:textId="0F7231FD" w:rsidR="00DF7AFB" w:rsidRDefault="00A82BDD" w:rsidP="00C30962">
            <w:pPr>
              <w:jc w:val="both"/>
              <w:rPr>
                <w:sz w:val="20"/>
              </w:rPr>
            </w:pPr>
            <w:r>
              <w:rPr>
                <w:sz w:val="20"/>
              </w:rPr>
              <w:t>t</w:t>
            </w:r>
            <w:r w:rsidR="007A1025">
              <w:rPr>
                <w:sz w:val="20"/>
              </w:rPr>
              <w:t>árhelyszolgáltató</w:t>
            </w:r>
            <w:r w:rsidR="00EA7C13">
              <w:rPr>
                <w:sz w:val="20"/>
              </w:rPr>
              <w:t>.</w:t>
            </w:r>
          </w:p>
          <w:p w14:paraId="3039E499" w14:textId="1E4183E8" w:rsidR="00FF5337" w:rsidRPr="00193AF9" w:rsidRDefault="00FF5337" w:rsidP="00C30962">
            <w:pPr>
              <w:jc w:val="both"/>
              <w:rPr>
                <w:sz w:val="20"/>
              </w:rPr>
            </w:pPr>
          </w:p>
        </w:tc>
      </w:tr>
      <w:tr w:rsidR="001B1C09" w:rsidRPr="00A220B3" w14:paraId="5BC91489" w14:textId="77777777" w:rsidTr="00173244">
        <w:tc>
          <w:tcPr>
            <w:tcW w:w="2776" w:type="dxa"/>
          </w:tcPr>
          <w:p w14:paraId="1BA2E2B1" w14:textId="58A00A28" w:rsidR="00FE7899" w:rsidRPr="00A220B3" w:rsidRDefault="00FE7899" w:rsidP="00173244">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404" w:type="dxa"/>
          </w:tcPr>
          <w:p w14:paraId="1A40EC8E" w14:textId="3FC6CEDE" w:rsidR="00FE7899" w:rsidRPr="00A647B8" w:rsidRDefault="009E7248" w:rsidP="009E7248">
            <w:pPr>
              <w:jc w:val="both"/>
              <w:rPr>
                <w:sz w:val="20"/>
              </w:rPr>
            </w:pPr>
            <w:r w:rsidRPr="00A647B8">
              <w:rPr>
                <w:sz w:val="20"/>
              </w:rPr>
              <w:t>Nftv. 3. melléklet I/B. 4. pontja alapján:</w:t>
            </w:r>
          </w:p>
          <w:p w14:paraId="7D617139" w14:textId="77777777" w:rsidR="009E7248" w:rsidRDefault="00E14B4D" w:rsidP="002C26CE">
            <w:pPr>
              <w:spacing w:after="20"/>
              <w:ind w:firstLine="180"/>
              <w:jc w:val="both"/>
              <w:rPr>
                <w:color w:val="000000"/>
                <w:sz w:val="20"/>
              </w:rPr>
            </w:pPr>
            <w:r>
              <w:rPr>
                <w:color w:val="000000"/>
                <w:sz w:val="20"/>
              </w:rPr>
              <w:t xml:space="preserve">a fenntartónak valamennyi adat; </w:t>
            </w:r>
            <w:r w:rsidR="00ED4F89">
              <w:rPr>
                <w:color w:val="000000"/>
                <w:sz w:val="20"/>
              </w:rPr>
              <w:t xml:space="preserve">a bíróságnak, a rendőrségnek, </w:t>
            </w:r>
            <w:r w:rsidR="00B42AB0" w:rsidRPr="00B42AB0">
              <w:rPr>
                <w:color w:val="000000"/>
                <w:sz w:val="20"/>
              </w:rPr>
              <w:t>az ügyészségnek, a bírósági végrehajtónak, az államigazgatási szervnek a konkrét ügy eldöntéséhez szükséges adat;</w:t>
            </w:r>
            <w:r>
              <w:rPr>
                <w:color w:val="000000"/>
                <w:sz w:val="20"/>
              </w:rPr>
              <w:t xml:space="preserve"> </w:t>
            </w:r>
            <w:r w:rsidR="00B42AB0" w:rsidRPr="00B42AB0">
              <w:rPr>
                <w:color w:val="000000"/>
                <w:sz w:val="20"/>
              </w:rPr>
              <w:t xml:space="preserve">a nemzetbiztonsági szolgálatnak az </w:t>
            </w:r>
            <w:proofErr w:type="spellStart"/>
            <w:r w:rsidR="00B42AB0" w:rsidRPr="00B42AB0">
              <w:rPr>
                <w:color w:val="000000"/>
                <w:sz w:val="20"/>
              </w:rPr>
              <w:t>Nbtv</w:t>
            </w:r>
            <w:proofErr w:type="spellEnd"/>
            <w:r w:rsidR="00B42AB0" w:rsidRPr="00B42AB0">
              <w:rPr>
                <w:color w:val="000000"/>
                <w:sz w:val="20"/>
              </w:rPr>
              <w:t>.-ben meghatározott feladatok ellátásához szükséges valamennyi adat;</w:t>
            </w:r>
            <w:r>
              <w:rPr>
                <w:color w:val="000000"/>
                <w:sz w:val="20"/>
              </w:rPr>
              <w:t xml:space="preserve"> </w:t>
            </w:r>
            <w:r w:rsidR="00B42AB0" w:rsidRPr="00B42AB0">
              <w:rPr>
                <w:color w:val="000000"/>
                <w:sz w:val="20"/>
              </w:rPr>
              <w:t>a felsőoktatási információs rendszer működéséért felelő</w:t>
            </w:r>
            <w:r w:rsidR="002C26CE">
              <w:rPr>
                <w:color w:val="000000"/>
                <w:sz w:val="20"/>
              </w:rPr>
              <w:t>s szerv részére valamennyi adat</w:t>
            </w:r>
            <w:r>
              <w:rPr>
                <w:color w:val="000000"/>
                <w:sz w:val="20"/>
              </w:rPr>
              <w:t xml:space="preserve">; </w:t>
            </w:r>
            <w:r w:rsidR="00B42AB0" w:rsidRPr="00B42AB0">
              <w:rPr>
                <w:color w:val="000000"/>
                <w:sz w:val="20"/>
              </w:rPr>
              <w:t>a magyar állami ösztöndíj feltételei teljesítésének nyilvántartásáért felelős szervnek a képzésre és a hallgatói jogviszonyra vonatkozóan.</w:t>
            </w:r>
          </w:p>
          <w:p w14:paraId="52DF4E3B" w14:textId="14C5A541" w:rsidR="00FF5337" w:rsidRPr="00E14B4D" w:rsidRDefault="00FF5337" w:rsidP="002C26CE">
            <w:pPr>
              <w:spacing w:after="20"/>
              <w:ind w:firstLine="180"/>
              <w:jc w:val="both"/>
              <w:rPr>
                <w:color w:val="000000"/>
                <w:sz w:val="20"/>
              </w:rPr>
            </w:pPr>
          </w:p>
        </w:tc>
      </w:tr>
      <w:tr w:rsidR="001B1C09" w:rsidRPr="00A220B3" w14:paraId="0130A922" w14:textId="77777777" w:rsidTr="00173244">
        <w:tc>
          <w:tcPr>
            <w:tcW w:w="2776" w:type="dxa"/>
          </w:tcPr>
          <w:p w14:paraId="01DB230F" w14:textId="69868BF4" w:rsidR="00BD36C6" w:rsidRDefault="009B5B6D" w:rsidP="00173244">
            <w:pPr>
              <w:pStyle w:val="Listaszerbekezds"/>
              <w:ind w:left="0"/>
              <w:jc w:val="both"/>
              <w:rPr>
                <w:rFonts w:ascii="Times New Roman" w:hAnsi="Times New Roman"/>
                <w:b/>
                <w:bCs/>
                <w:sz w:val="20"/>
                <w:szCs w:val="20"/>
              </w:rPr>
            </w:pPr>
            <w:r>
              <w:rPr>
                <w:rFonts w:ascii="Times New Roman" w:hAnsi="Times New Roman"/>
                <w:b/>
                <w:bCs/>
                <w:sz w:val="20"/>
                <w:szCs w:val="20"/>
              </w:rPr>
              <w:t>Adatok forrása</w:t>
            </w:r>
          </w:p>
        </w:tc>
        <w:tc>
          <w:tcPr>
            <w:tcW w:w="6404" w:type="dxa"/>
          </w:tcPr>
          <w:p w14:paraId="4EDCA19B" w14:textId="34367E00" w:rsidR="00BD36C6" w:rsidRPr="00A647B8" w:rsidRDefault="009B5B6D" w:rsidP="009E7248">
            <w:pPr>
              <w:jc w:val="both"/>
              <w:rPr>
                <w:sz w:val="20"/>
              </w:rPr>
            </w:pPr>
            <w:r>
              <w:rPr>
                <w:sz w:val="20"/>
              </w:rPr>
              <w:t xml:space="preserve">Felvi.hu és a </w:t>
            </w:r>
            <w:r w:rsidR="00246936">
              <w:rPr>
                <w:sz w:val="20"/>
              </w:rPr>
              <w:t xml:space="preserve">felvett </w:t>
            </w:r>
            <w:r w:rsidR="002451B7">
              <w:rPr>
                <w:sz w:val="20"/>
              </w:rPr>
              <w:t>jelentkező által megadott adatok</w:t>
            </w:r>
            <w:r w:rsidR="00EA7C13">
              <w:rPr>
                <w:sz w:val="20"/>
              </w:rPr>
              <w:t>.</w:t>
            </w:r>
          </w:p>
        </w:tc>
      </w:tr>
    </w:tbl>
    <w:p w14:paraId="79FBD79B" w14:textId="49ED9388" w:rsidR="008D3090" w:rsidRPr="00976CEE" w:rsidRDefault="008D3090" w:rsidP="00AA32F5">
      <w:pPr>
        <w:jc w:val="both"/>
        <w:rPr>
          <w:b/>
          <w:sz w:val="20"/>
        </w:rPr>
      </w:pPr>
    </w:p>
    <w:p w14:paraId="2252B9B1" w14:textId="33696A4B" w:rsidR="004705FF" w:rsidRDefault="004705FF" w:rsidP="004705FF">
      <w:pPr>
        <w:pStyle w:val="Listaszerbekezds"/>
        <w:numPr>
          <w:ilvl w:val="0"/>
          <w:numId w:val="12"/>
        </w:numPr>
        <w:rPr>
          <w:rFonts w:ascii="Times New Roman" w:hAnsi="Times New Roman"/>
          <w:b/>
          <w:sz w:val="20"/>
        </w:rPr>
      </w:pPr>
      <w:r w:rsidRPr="00976CEE">
        <w:rPr>
          <w:rFonts w:ascii="Times New Roman" w:hAnsi="Times New Roman"/>
          <w:b/>
          <w:sz w:val="20"/>
        </w:rPr>
        <w:t>Távoktatás, távolléti vizsgáztatás</w:t>
      </w:r>
    </w:p>
    <w:p w14:paraId="6E1F903E" w14:textId="77777777" w:rsidR="00FF5337" w:rsidRPr="00976CEE" w:rsidRDefault="00FF5337" w:rsidP="00FF5337">
      <w:pPr>
        <w:pStyle w:val="Listaszerbekezds"/>
        <w:ind w:left="1080"/>
        <w:rPr>
          <w:rFonts w:ascii="Times New Roman" w:hAnsi="Times New Roman"/>
          <w:b/>
          <w:sz w:val="20"/>
        </w:rPr>
      </w:pPr>
    </w:p>
    <w:tbl>
      <w:tblPr>
        <w:tblStyle w:val="Rcsostblzat"/>
        <w:tblW w:w="0" w:type="auto"/>
        <w:tblInd w:w="108" w:type="dxa"/>
        <w:tblLook w:val="04A0" w:firstRow="1" w:lastRow="0" w:firstColumn="1" w:lastColumn="0" w:noHBand="0" w:noVBand="1"/>
      </w:tblPr>
      <w:tblGrid>
        <w:gridCol w:w="2725"/>
        <w:gridCol w:w="6229"/>
      </w:tblGrid>
      <w:tr w:rsidR="001F2E3F" w:rsidRPr="00E770E7" w14:paraId="2774F033" w14:textId="77777777" w:rsidTr="00591218">
        <w:trPr>
          <w:trHeight w:val="473"/>
        </w:trPr>
        <w:tc>
          <w:tcPr>
            <w:tcW w:w="2725" w:type="dxa"/>
          </w:tcPr>
          <w:p w14:paraId="7EDD37AB" w14:textId="77777777" w:rsidR="001F2E3F" w:rsidRPr="00E770E7" w:rsidRDefault="001F2E3F" w:rsidP="00456CCC">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229" w:type="dxa"/>
          </w:tcPr>
          <w:p w14:paraId="3F6853DC" w14:textId="77777777" w:rsidR="004705FF" w:rsidRPr="0038397D" w:rsidRDefault="004705FF" w:rsidP="004705FF">
            <w:pPr>
              <w:numPr>
                <w:ilvl w:val="0"/>
                <w:numId w:val="5"/>
              </w:numPr>
              <w:ind w:left="284" w:hanging="284"/>
              <w:jc w:val="both"/>
              <w:rPr>
                <w:sz w:val="20"/>
              </w:rPr>
            </w:pPr>
            <w:r>
              <w:rPr>
                <w:sz w:val="20"/>
              </w:rPr>
              <w:t>képmás</w:t>
            </w:r>
          </w:p>
          <w:p w14:paraId="2065FFA8" w14:textId="0D0C214A" w:rsidR="004705FF" w:rsidRDefault="004705FF" w:rsidP="004705FF">
            <w:pPr>
              <w:numPr>
                <w:ilvl w:val="0"/>
                <w:numId w:val="5"/>
              </w:numPr>
              <w:ind w:left="284" w:hanging="284"/>
              <w:jc w:val="both"/>
              <w:rPr>
                <w:sz w:val="20"/>
              </w:rPr>
            </w:pPr>
            <w:r>
              <w:rPr>
                <w:sz w:val="20"/>
              </w:rPr>
              <w:t>hang</w:t>
            </w:r>
          </w:p>
          <w:p w14:paraId="2565D200" w14:textId="1789FDE6" w:rsidR="00CA612B" w:rsidRDefault="00260309" w:rsidP="004705FF">
            <w:pPr>
              <w:numPr>
                <w:ilvl w:val="0"/>
                <w:numId w:val="5"/>
              </w:numPr>
              <w:ind w:left="284" w:hanging="284"/>
              <w:jc w:val="both"/>
              <w:rPr>
                <w:sz w:val="20"/>
              </w:rPr>
            </w:pPr>
            <w:r>
              <w:rPr>
                <w:sz w:val="20"/>
              </w:rPr>
              <w:t xml:space="preserve">Teams/Zoom </w:t>
            </w:r>
            <w:r w:rsidR="00EB4E4A">
              <w:rPr>
                <w:sz w:val="20"/>
              </w:rPr>
              <w:t xml:space="preserve">felhasználóneve, </w:t>
            </w:r>
            <w:proofErr w:type="spellStart"/>
            <w:r w:rsidR="00CA612B">
              <w:rPr>
                <w:sz w:val="20"/>
              </w:rPr>
              <w:t>jelszava</w:t>
            </w:r>
            <w:proofErr w:type="spellEnd"/>
            <w:r w:rsidR="00002E6A">
              <w:rPr>
                <w:sz w:val="20"/>
              </w:rPr>
              <w:t>, e-mailcíme</w:t>
            </w:r>
          </w:p>
          <w:p w14:paraId="040D969E" w14:textId="77777777" w:rsidR="004705FF" w:rsidRDefault="004705FF" w:rsidP="004705FF">
            <w:pPr>
              <w:numPr>
                <w:ilvl w:val="0"/>
                <w:numId w:val="5"/>
              </w:numPr>
              <w:ind w:left="284" w:hanging="284"/>
              <w:jc w:val="both"/>
              <w:rPr>
                <w:sz w:val="20"/>
              </w:rPr>
            </w:pPr>
            <w:r>
              <w:rPr>
                <w:sz w:val="20"/>
              </w:rPr>
              <w:t>online kapcsolaton keresztül érzékelhető egyéb személyes adatok</w:t>
            </w:r>
          </w:p>
          <w:p w14:paraId="7EA9420F" w14:textId="308C59A3" w:rsidR="004705FF" w:rsidRPr="00BF15B1" w:rsidRDefault="004705FF" w:rsidP="004705FF">
            <w:pPr>
              <w:numPr>
                <w:ilvl w:val="0"/>
                <w:numId w:val="5"/>
              </w:numPr>
              <w:ind w:left="284" w:hanging="284"/>
              <w:jc w:val="both"/>
              <w:rPr>
                <w:sz w:val="20"/>
              </w:rPr>
            </w:pPr>
            <w:r w:rsidRPr="00BF15B1">
              <w:rPr>
                <w:sz w:val="20"/>
              </w:rPr>
              <w:t>személyazonosításra használt okmány</w:t>
            </w:r>
            <w:r>
              <w:rPr>
                <w:sz w:val="20"/>
              </w:rPr>
              <w:t xml:space="preserve"> képe</w:t>
            </w:r>
            <w:r w:rsidR="00EF22A9">
              <w:rPr>
                <w:sz w:val="20"/>
              </w:rPr>
              <w:t xml:space="preserve"> (bemutatásra)</w:t>
            </w:r>
          </w:p>
          <w:p w14:paraId="48F5B0A8" w14:textId="77777777" w:rsidR="00D74EFF" w:rsidRDefault="004705FF" w:rsidP="00D74EFF">
            <w:pPr>
              <w:numPr>
                <w:ilvl w:val="0"/>
                <w:numId w:val="5"/>
              </w:numPr>
              <w:ind w:left="284" w:hanging="284"/>
              <w:jc w:val="both"/>
              <w:rPr>
                <w:sz w:val="20"/>
              </w:rPr>
            </w:pPr>
            <w:r w:rsidRPr="002D66D9">
              <w:rPr>
                <w:sz w:val="20"/>
              </w:rPr>
              <w:t xml:space="preserve">szeminárium alatt, amennyiben a </w:t>
            </w:r>
            <w:r>
              <w:rPr>
                <w:sz w:val="20"/>
              </w:rPr>
              <w:t xml:space="preserve">háttér kitakarására szolgáló, ún. </w:t>
            </w:r>
            <w:r w:rsidRPr="00D74EFF">
              <w:rPr>
                <w:sz w:val="20"/>
              </w:rPr>
              <w:t>maszkolás funkciót nem használja, a környezete. Vizsgáztatás során a hallgató környezete (ekkor a maszkolás funkció nem alkalmazható).</w:t>
            </w:r>
          </w:p>
          <w:p w14:paraId="5ABC8100" w14:textId="17244CEC" w:rsidR="004705FF" w:rsidRDefault="006E4CA1" w:rsidP="00D74EFF">
            <w:pPr>
              <w:numPr>
                <w:ilvl w:val="0"/>
                <w:numId w:val="5"/>
              </w:numPr>
              <w:ind w:left="284" w:hanging="284"/>
              <w:jc w:val="both"/>
              <w:rPr>
                <w:sz w:val="20"/>
              </w:rPr>
            </w:pPr>
            <w:r w:rsidRPr="00D74EFF">
              <w:rPr>
                <w:sz w:val="20"/>
              </w:rPr>
              <w:t xml:space="preserve">csak egyes karok esetében: </w:t>
            </w:r>
            <w:r w:rsidR="004705FF" w:rsidRPr="00D74EFF">
              <w:rPr>
                <w:sz w:val="20"/>
              </w:rPr>
              <w:t xml:space="preserve">vizsgáztatás esetén a hallgató által használt alternatív, hang- és képi átvitelt egyidejűleg biztosító platform (pl. Skype, </w:t>
            </w:r>
            <w:proofErr w:type="spellStart"/>
            <w:r w:rsidR="004705FF" w:rsidRPr="00D74EFF">
              <w:rPr>
                <w:sz w:val="20"/>
              </w:rPr>
              <w:t>Viber</w:t>
            </w:r>
            <w:proofErr w:type="spellEnd"/>
            <w:r w:rsidR="004705FF" w:rsidRPr="00D74EFF">
              <w:rPr>
                <w:sz w:val="20"/>
              </w:rPr>
              <w:t>, Messenger) elérési útja</w:t>
            </w:r>
            <w:r w:rsidR="00617C8A" w:rsidRPr="00D74EFF">
              <w:rPr>
                <w:sz w:val="20"/>
              </w:rPr>
              <w:t xml:space="preserve"> (ha a vizsgáztató kar ezeket az adatokat bekérte)</w:t>
            </w:r>
          </w:p>
          <w:p w14:paraId="6B9AF9AE" w14:textId="0A3F29E2" w:rsidR="001F2E3F" w:rsidRDefault="004705FF" w:rsidP="00D74EFF">
            <w:pPr>
              <w:numPr>
                <w:ilvl w:val="0"/>
                <w:numId w:val="5"/>
              </w:numPr>
              <w:ind w:left="284" w:hanging="284"/>
              <w:jc w:val="both"/>
              <w:rPr>
                <w:sz w:val="20"/>
              </w:rPr>
            </w:pPr>
            <w:r w:rsidRPr="00D74EFF">
              <w:rPr>
                <w:sz w:val="20"/>
              </w:rPr>
              <w:t>a regisztrált speciális szükségletű hallgató esetében a segítője személyes adatai (képmás, hang, online kapcsolaton keresztül érzékelhető egyéb személyes adatai)</w:t>
            </w:r>
            <w:r w:rsidR="00EA7C13">
              <w:rPr>
                <w:sz w:val="20"/>
              </w:rPr>
              <w:t>.</w:t>
            </w:r>
          </w:p>
          <w:p w14:paraId="07AD8932" w14:textId="0F593034" w:rsidR="00FF5337" w:rsidRPr="00D74EFF" w:rsidRDefault="00FF5337" w:rsidP="00FF5337">
            <w:pPr>
              <w:ind w:left="284"/>
              <w:jc w:val="both"/>
              <w:rPr>
                <w:sz w:val="20"/>
              </w:rPr>
            </w:pPr>
          </w:p>
        </w:tc>
      </w:tr>
      <w:tr w:rsidR="001F2E3F" w:rsidRPr="00E770E7" w14:paraId="32854CDB" w14:textId="77777777" w:rsidTr="00591218">
        <w:tc>
          <w:tcPr>
            <w:tcW w:w="2725" w:type="dxa"/>
          </w:tcPr>
          <w:p w14:paraId="4C2F8E5F" w14:textId="77777777" w:rsidR="001F2E3F" w:rsidRPr="00E770E7" w:rsidRDefault="001F2E3F" w:rsidP="00456CCC">
            <w:pPr>
              <w:pStyle w:val="Listaszerbekezds"/>
              <w:ind w:left="0"/>
              <w:jc w:val="both"/>
              <w:rPr>
                <w:rFonts w:ascii="Times New Roman" w:hAnsi="Times New Roman"/>
                <w:b/>
                <w:bCs/>
                <w:sz w:val="20"/>
                <w:szCs w:val="20"/>
              </w:rPr>
            </w:pPr>
            <w:r w:rsidRPr="00E770E7">
              <w:rPr>
                <w:rFonts w:ascii="Times New Roman" w:hAnsi="Times New Roman"/>
                <w:b/>
                <w:bCs/>
                <w:sz w:val="20"/>
                <w:szCs w:val="20"/>
              </w:rPr>
              <w:lastRenderedPageBreak/>
              <w:t>Adatkezelés célja</w:t>
            </w:r>
          </w:p>
        </w:tc>
        <w:tc>
          <w:tcPr>
            <w:tcW w:w="6229" w:type="dxa"/>
          </w:tcPr>
          <w:p w14:paraId="74DCD69B" w14:textId="031CFDBF" w:rsidR="00A03980" w:rsidRDefault="00A03980" w:rsidP="004705FF">
            <w:pPr>
              <w:rPr>
                <w:sz w:val="20"/>
              </w:rPr>
            </w:pPr>
            <w:r>
              <w:rPr>
                <w:sz w:val="20"/>
              </w:rPr>
              <w:t>Távolléti oktatás megtartása, vizsgáztatás</w:t>
            </w:r>
            <w:r w:rsidR="00EA7C13">
              <w:rPr>
                <w:sz w:val="20"/>
              </w:rPr>
              <w:t>.</w:t>
            </w:r>
          </w:p>
          <w:p w14:paraId="2399AD79" w14:textId="0681A523" w:rsidR="004705FF" w:rsidRDefault="00A03980" w:rsidP="004705FF">
            <w:pPr>
              <w:rPr>
                <w:sz w:val="20"/>
              </w:rPr>
            </w:pPr>
            <w:r>
              <w:rPr>
                <w:sz w:val="20"/>
              </w:rPr>
              <w:t>(</w:t>
            </w:r>
            <w:r w:rsidR="004705FF">
              <w:rPr>
                <w:sz w:val="20"/>
              </w:rPr>
              <w:t>Szemináriumi oktatás megtartás</w:t>
            </w:r>
            <w:r>
              <w:rPr>
                <w:sz w:val="20"/>
              </w:rPr>
              <w:t>a</w:t>
            </w:r>
            <w:r w:rsidR="004705FF">
              <w:rPr>
                <w:sz w:val="20"/>
              </w:rPr>
              <w:t>;</w:t>
            </w:r>
          </w:p>
          <w:p w14:paraId="59A0B70C" w14:textId="576E4A1F" w:rsidR="004705FF" w:rsidRDefault="004705FF" w:rsidP="004705FF">
            <w:pPr>
              <w:rPr>
                <w:sz w:val="20"/>
              </w:rPr>
            </w:pPr>
            <w:r>
              <w:rPr>
                <w:sz w:val="20"/>
              </w:rPr>
              <w:t>Távolléti vizsgáztatás során a hallgató online platformon történő vizsgára való behívás, beazonosítás, vizsgáztatá</w:t>
            </w:r>
            <w:r w:rsidR="00B34F0A">
              <w:rPr>
                <w:sz w:val="20"/>
              </w:rPr>
              <w:t>s</w:t>
            </w:r>
            <w:r>
              <w:rPr>
                <w:sz w:val="20"/>
              </w:rPr>
              <w:t>, a vizsga tisztaságának biztosítás</w:t>
            </w:r>
            <w:r w:rsidR="00B34F0A">
              <w:rPr>
                <w:sz w:val="20"/>
              </w:rPr>
              <w:t>a</w:t>
            </w:r>
            <w:r>
              <w:rPr>
                <w:sz w:val="20"/>
              </w:rPr>
              <w:t xml:space="preserve">, </w:t>
            </w:r>
            <w:r w:rsidRPr="00DF46DB">
              <w:rPr>
                <w:sz w:val="20"/>
              </w:rPr>
              <w:t>a felmerülő technikai problémák esetén alternatív úton (más platformon) történő vizsgáztatás.</w:t>
            </w:r>
            <w:r w:rsidR="00A03980">
              <w:rPr>
                <w:sz w:val="20"/>
              </w:rPr>
              <w:t>)</w:t>
            </w:r>
          </w:p>
          <w:p w14:paraId="59AF3B5D" w14:textId="760B09DC" w:rsidR="001F2E3F" w:rsidRPr="00E770E7" w:rsidRDefault="001F2E3F" w:rsidP="00456CCC">
            <w:pPr>
              <w:spacing w:after="20"/>
              <w:jc w:val="both"/>
              <w:rPr>
                <w:bCs/>
                <w:sz w:val="20"/>
              </w:rPr>
            </w:pPr>
          </w:p>
        </w:tc>
      </w:tr>
      <w:tr w:rsidR="001F2E3F" w:rsidRPr="00E770E7" w14:paraId="5A830EF3" w14:textId="77777777" w:rsidTr="00591218">
        <w:tc>
          <w:tcPr>
            <w:tcW w:w="2725" w:type="dxa"/>
          </w:tcPr>
          <w:p w14:paraId="3EE240E1" w14:textId="77777777" w:rsidR="001F2E3F" w:rsidRPr="00E770E7" w:rsidRDefault="001F2E3F" w:rsidP="00456CCC">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229" w:type="dxa"/>
          </w:tcPr>
          <w:p w14:paraId="122D6A2C" w14:textId="74AD38B0" w:rsidR="004705FF" w:rsidRPr="002D66D9" w:rsidRDefault="004705FF" w:rsidP="004705FF">
            <w:pPr>
              <w:jc w:val="both"/>
              <w:rPr>
                <w:bCs/>
                <w:sz w:val="20"/>
              </w:rPr>
            </w:pPr>
            <w:r w:rsidRPr="00A25392">
              <w:rPr>
                <w:bCs/>
                <w:sz w:val="20"/>
              </w:rPr>
              <w:t>GDPR 6. cikk (1)</w:t>
            </w:r>
            <w:r w:rsidRPr="00E770E7">
              <w:rPr>
                <w:b/>
                <w:bCs/>
                <w:sz w:val="20"/>
              </w:rPr>
              <w:t xml:space="preserve"> </w:t>
            </w:r>
            <w:r w:rsidR="00621A44" w:rsidRPr="00363BED">
              <w:rPr>
                <w:sz w:val="20"/>
              </w:rPr>
              <w:t xml:space="preserve">bekezdés </w:t>
            </w:r>
            <w:r w:rsidRPr="004705FF">
              <w:rPr>
                <w:sz w:val="20"/>
              </w:rPr>
              <w:t>e) pont</w:t>
            </w:r>
            <w:r w:rsidR="00B27FC2">
              <w:rPr>
                <w:sz w:val="20"/>
              </w:rPr>
              <w:t>ja</w:t>
            </w:r>
            <w:r>
              <w:rPr>
                <w:sz w:val="20"/>
              </w:rPr>
              <w:t xml:space="preserve"> -</w:t>
            </w:r>
            <w:r>
              <w:rPr>
                <w:b/>
                <w:bCs/>
                <w:sz w:val="20"/>
              </w:rPr>
              <w:t xml:space="preserve"> </w:t>
            </w:r>
            <w:r w:rsidRPr="002D66D9">
              <w:rPr>
                <w:bCs/>
                <w:color w:val="000000"/>
                <w:sz w:val="20"/>
                <w:shd w:val="clear" w:color="auto" w:fill="FFFFFF"/>
              </w:rPr>
              <w:t>az adatkezelés közérdekű vagy az adatkezelőre ruházott közhatalmi jogosítvány gyakorlásának keretében végzett feladat végrehajtásához szükséges.</w:t>
            </w:r>
            <w:r>
              <w:rPr>
                <w:bCs/>
                <w:color w:val="000000"/>
                <w:sz w:val="20"/>
                <w:shd w:val="clear" w:color="auto" w:fill="FFFFFF"/>
              </w:rPr>
              <w:t xml:space="preserve"> </w:t>
            </w:r>
            <w:r w:rsidRPr="002D66D9">
              <w:rPr>
                <w:bCs/>
                <w:sz w:val="20"/>
                <w:shd w:val="clear" w:color="auto" w:fill="FFFFFF"/>
              </w:rPr>
              <w:t>A vonatkozó jogszabály</w:t>
            </w:r>
            <w:r w:rsidRPr="002D66D9">
              <w:rPr>
                <w:bCs/>
                <w:color w:val="FF0000"/>
                <w:sz w:val="20"/>
                <w:shd w:val="clear" w:color="auto" w:fill="FFFFFF"/>
              </w:rPr>
              <w:t xml:space="preserve"> </w:t>
            </w:r>
            <w:r w:rsidRPr="002D66D9">
              <w:rPr>
                <w:bCs/>
                <w:color w:val="000000"/>
                <w:sz w:val="20"/>
                <w:shd w:val="clear" w:color="auto" w:fill="FFFFFF"/>
              </w:rPr>
              <w:t>a Nemzeti felsőoktatásról szóló 2011. évi CCIV. törvény</w:t>
            </w:r>
            <w:r>
              <w:rPr>
                <w:bCs/>
                <w:color w:val="000000"/>
                <w:sz w:val="20"/>
                <w:shd w:val="clear" w:color="auto" w:fill="FFFFFF"/>
              </w:rPr>
              <w:t>.</w:t>
            </w:r>
          </w:p>
          <w:p w14:paraId="734EC9A3" w14:textId="77777777" w:rsidR="004705FF" w:rsidRDefault="004705FF" w:rsidP="004705FF">
            <w:pPr>
              <w:jc w:val="both"/>
              <w:rPr>
                <w:sz w:val="20"/>
              </w:rPr>
            </w:pPr>
          </w:p>
          <w:p w14:paraId="309A6023" w14:textId="77777777" w:rsidR="004705FF" w:rsidRPr="002657C3" w:rsidRDefault="004705FF" w:rsidP="004705FF">
            <w:pPr>
              <w:jc w:val="both"/>
              <w:rPr>
                <w:sz w:val="20"/>
              </w:rPr>
            </w:pPr>
            <w:r w:rsidRPr="00D41653">
              <w:rPr>
                <w:sz w:val="20"/>
              </w:rPr>
              <w:t>Ö</w:t>
            </w:r>
            <w:r w:rsidRPr="009521DA">
              <w:rPr>
                <w:sz w:val="20"/>
              </w:rPr>
              <w:t>n, mint érintett, jogosult arra, hogy a saját helyzetével kapcsolatos okokból bármikor tiltakozzon személyes adatainak a fenti kezelése ellen, ideértve az említett rendelkezéseken alapuló profilalkotást</w:t>
            </w:r>
            <w:r w:rsidRPr="002D66D9">
              <w:rPr>
                <w:rStyle w:val="Lbjegyzet-hivatkozs"/>
                <w:sz w:val="20"/>
              </w:rPr>
              <w:footnoteRef/>
            </w:r>
            <w:r w:rsidRPr="009521DA">
              <w:rPr>
                <w:sz w:val="20"/>
              </w:rPr>
              <w:t xml:space="preserve"> is. Tiltakozása esetén az adatkezelő a személyes adatokat nem kezelheti tovább, kivéve, ha bizonyítja, hogy az adatkezelést olyan kényszerítő </w:t>
            </w:r>
            <w:proofErr w:type="spellStart"/>
            <w:r w:rsidRPr="009521DA">
              <w:rPr>
                <w:sz w:val="20"/>
              </w:rPr>
              <w:t>erejű</w:t>
            </w:r>
            <w:proofErr w:type="spellEnd"/>
            <w:r w:rsidRPr="009521DA">
              <w:rPr>
                <w:sz w:val="20"/>
              </w:rPr>
              <w:t xml:space="preserve"> jogos okok indokolják, amelyek elsőbbséget élveznek az Ön érdekeivel, jogaival és szabadságaival szemben, vagy amelyek jogi igények előterjesztéséhez, érvényesítéséhez vagy védelméhez kapcsolódnak.</w:t>
            </w:r>
          </w:p>
          <w:p w14:paraId="0D60ED7A" w14:textId="20863628" w:rsidR="001F2E3F" w:rsidRPr="00E770E7" w:rsidRDefault="001F2E3F" w:rsidP="00456CCC">
            <w:pPr>
              <w:rPr>
                <w:bCs/>
                <w:sz w:val="20"/>
              </w:rPr>
            </w:pPr>
          </w:p>
        </w:tc>
      </w:tr>
      <w:tr w:rsidR="001F2E3F" w:rsidRPr="00A220B3" w14:paraId="35DF93D8" w14:textId="77777777" w:rsidTr="00591218">
        <w:tc>
          <w:tcPr>
            <w:tcW w:w="2725" w:type="dxa"/>
          </w:tcPr>
          <w:p w14:paraId="70E171DE" w14:textId="77777777" w:rsidR="001F2E3F" w:rsidRPr="00A220B3" w:rsidRDefault="001F2E3F" w:rsidP="00456CCC">
            <w:pPr>
              <w:pStyle w:val="Listaszerbekezds"/>
              <w:ind w:left="0"/>
              <w:jc w:val="both"/>
              <w:rPr>
                <w:rFonts w:ascii="Times New Roman" w:hAnsi="Times New Roman"/>
                <w:b/>
                <w:bCs/>
                <w:sz w:val="20"/>
                <w:szCs w:val="20"/>
              </w:rPr>
            </w:pPr>
            <w:r w:rsidRPr="00A220B3">
              <w:rPr>
                <w:rFonts w:ascii="Times New Roman" w:hAnsi="Times New Roman"/>
                <w:b/>
                <w:bCs/>
                <w:sz w:val="20"/>
                <w:szCs w:val="20"/>
              </w:rPr>
              <w:t>Időtartam</w:t>
            </w:r>
          </w:p>
        </w:tc>
        <w:tc>
          <w:tcPr>
            <w:tcW w:w="6229" w:type="dxa"/>
          </w:tcPr>
          <w:p w14:paraId="4036DF9C" w14:textId="77777777" w:rsidR="004705FF" w:rsidRPr="002D66D9" w:rsidRDefault="004705FF" w:rsidP="004705FF">
            <w:pPr>
              <w:jc w:val="both"/>
              <w:rPr>
                <w:sz w:val="20"/>
              </w:rPr>
            </w:pPr>
            <w:r>
              <w:rPr>
                <w:sz w:val="20"/>
              </w:rPr>
              <w:t>Az oktatás, illetve a vizsga idej</w:t>
            </w:r>
            <w:r w:rsidRPr="002D66D9">
              <w:rPr>
                <w:sz w:val="20"/>
              </w:rPr>
              <w:t>e alatt. A vizsgák felvételen nem rögzíthetőek.</w:t>
            </w:r>
          </w:p>
          <w:p w14:paraId="142D3785" w14:textId="77777777" w:rsidR="004705FF" w:rsidRPr="008D4D12" w:rsidRDefault="004705FF" w:rsidP="004705FF">
            <w:pPr>
              <w:jc w:val="both"/>
              <w:rPr>
                <w:color w:val="FF0000"/>
                <w:sz w:val="20"/>
              </w:rPr>
            </w:pPr>
            <w:r w:rsidRPr="004705FF">
              <w:rPr>
                <w:sz w:val="20"/>
              </w:rPr>
              <w:t xml:space="preserve">A hallgató által használt alternatív, hang- és képi átvitelt egyidejűleg biztosító platform (pl. Skype, </w:t>
            </w:r>
            <w:proofErr w:type="spellStart"/>
            <w:r w:rsidRPr="004705FF">
              <w:rPr>
                <w:sz w:val="20"/>
              </w:rPr>
              <w:t>Viber</w:t>
            </w:r>
            <w:proofErr w:type="spellEnd"/>
            <w:r w:rsidRPr="004705FF">
              <w:rPr>
                <w:sz w:val="20"/>
              </w:rPr>
              <w:t>, Messenger) elérési útja: vizsgaidőszak, záróvizsga-időszak végéig.</w:t>
            </w:r>
          </w:p>
          <w:p w14:paraId="13DA3994" w14:textId="57D87279" w:rsidR="001F2E3F" w:rsidRPr="00860071" w:rsidRDefault="001F2E3F" w:rsidP="00456CCC">
            <w:pPr>
              <w:rPr>
                <w:b/>
                <w:bCs/>
                <w:sz w:val="20"/>
              </w:rPr>
            </w:pPr>
          </w:p>
        </w:tc>
      </w:tr>
      <w:tr w:rsidR="001F2E3F" w:rsidRPr="00A220B3" w14:paraId="3F0B3766" w14:textId="77777777" w:rsidTr="00591218">
        <w:tc>
          <w:tcPr>
            <w:tcW w:w="2725" w:type="dxa"/>
          </w:tcPr>
          <w:p w14:paraId="5D379E55" w14:textId="77777777" w:rsidR="001F2E3F" w:rsidRPr="00A220B3" w:rsidRDefault="001F2E3F" w:rsidP="00456CCC">
            <w:pPr>
              <w:pStyle w:val="Listaszerbekezds"/>
              <w:ind w:left="0"/>
              <w:jc w:val="both"/>
              <w:rPr>
                <w:rFonts w:ascii="Times New Roman" w:hAnsi="Times New Roman"/>
                <w:b/>
                <w:bCs/>
                <w:sz w:val="20"/>
                <w:szCs w:val="20"/>
              </w:rPr>
            </w:pPr>
            <w:r w:rsidRPr="00A220B3">
              <w:rPr>
                <w:rFonts w:ascii="Times New Roman" w:hAnsi="Times New Roman"/>
                <w:b/>
                <w:bCs/>
                <w:sz w:val="20"/>
                <w:szCs w:val="20"/>
              </w:rPr>
              <w:t>Adatfeldolgozó</w:t>
            </w:r>
          </w:p>
        </w:tc>
        <w:tc>
          <w:tcPr>
            <w:tcW w:w="6229" w:type="dxa"/>
          </w:tcPr>
          <w:p w14:paraId="73F5FD81" w14:textId="05A5FD6C" w:rsidR="001F2E3F" w:rsidRPr="00193AF9" w:rsidRDefault="00EA7C13" w:rsidP="00456CCC">
            <w:pPr>
              <w:jc w:val="both"/>
              <w:rPr>
                <w:sz w:val="20"/>
              </w:rPr>
            </w:pPr>
            <w:r>
              <w:rPr>
                <w:bCs/>
                <w:sz w:val="20"/>
              </w:rPr>
              <w:t>A</w:t>
            </w:r>
            <w:r w:rsidR="004705FF">
              <w:rPr>
                <w:bCs/>
                <w:sz w:val="20"/>
              </w:rPr>
              <w:t xml:space="preserve"> </w:t>
            </w:r>
            <w:r w:rsidR="004705FF" w:rsidRPr="00C76F5C">
              <w:rPr>
                <w:bCs/>
                <w:sz w:val="20"/>
              </w:rPr>
              <w:t>távkapcsolat</w:t>
            </w:r>
            <w:r w:rsidR="004705FF">
              <w:rPr>
                <w:bCs/>
                <w:sz w:val="20"/>
              </w:rPr>
              <w:t>ot biztosító szolgáltató</w:t>
            </w:r>
            <w:r>
              <w:rPr>
                <w:bCs/>
                <w:sz w:val="20"/>
              </w:rPr>
              <w:t>.</w:t>
            </w:r>
          </w:p>
        </w:tc>
      </w:tr>
    </w:tbl>
    <w:p w14:paraId="29D581B1" w14:textId="77777777" w:rsidR="001F2E3F" w:rsidRDefault="001F2E3F" w:rsidP="00AA32F5">
      <w:pPr>
        <w:jc w:val="both"/>
        <w:rPr>
          <w:b/>
          <w:sz w:val="20"/>
        </w:rPr>
      </w:pPr>
    </w:p>
    <w:p w14:paraId="0BB0037A" w14:textId="43CA43D4" w:rsidR="00C85F8A" w:rsidRPr="00722EBF" w:rsidRDefault="00561E9E" w:rsidP="00E707D2">
      <w:pPr>
        <w:pStyle w:val="Listaszerbekezds"/>
        <w:numPr>
          <w:ilvl w:val="0"/>
          <w:numId w:val="12"/>
        </w:numPr>
        <w:rPr>
          <w:rFonts w:ascii="Times New Roman" w:hAnsi="Times New Roman"/>
          <w:b/>
          <w:sz w:val="20"/>
          <w:szCs w:val="20"/>
        </w:rPr>
      </w:pPr>
      <w:r w:rsidRPr="00722EBF">
        <w:rPr>
          <w:rFonts w:ascii="Times New Roman" w:hAnsi="Times New Roman"/>
          <w:b/>
          <w:sz w:val="20"/>
          <w:szCs w:val="20"/>
        </w:rPr>
        <w:t>Gyermekes hallgató által igényelhető kedvezmények igénylése</w:t>
      </w:r>
    </w:p>
    <w:tbl>
      <w:tblPr>
        <w:tblStyle w:val="Rcsostblzat"/>
        <w:tblW w:w="0" w:type="auto"/>
        <w:tblInd w:w="108" w:type="dxa"/>
        <w:tblLook w:val="04A0" w:firstRow="1" w:lastRow="0" w:firstColumn="1" w:lastColumn="0" w:noHBand="0" w:noVBand="1"/>
      </w:tblPr>
      <w:tblGrid>
        <w:gridCol w:w="2729"/>
        <w:gridCol w:w="6225"/>
      </w:tblGrid>
      <w:tr w:rsidR="00C85F8A" w:rsidRPr="00722EBF" w14:paraId="191CD3D0" w14:textId="77777777" w:rsidTr="00FD3BCA">
        <w:tc>
          <w:tcPr>
            <w:tcW w:w="2729" w:type="dxa"/>
          </w:tcPr>
          <w:p w14:paraId="6F2A7194" w14:textId="77777777" w:rsidR="00C85F8A" w:rsidRPr="00722EBF" w:rsidRDefault="00C85F8A" w:rsidP="00FD3BCA">
            <w:pPr>
              <w:pStyle w:val="Listaszerbekezds"/>
              <w:ind w:left="0"/>
              <w:jc w:val="both"/>
              <w:rPr>
                <w:rFonts w:ascii="Times New Roman" w:hAnsi="Times New Roman"/>
                <w:b/>
                <w:bCs/>
                <w:sz w:val="20"/>
                <w:szCs w:val="20"/>
              </w:rPr>
            </w:pPr>
            <w:r w:rsidRPr="00722EBF">
              <w:rPr>
                <w:rFonts w:ascii="Times New Roman" w:hAnsi="Times New Roman"/>
                <w:b/>
                <w:bCs/>
                <w:sz w:val="20"/>
                <w:szCs w:val="20"/>
              </w:rPr>
              <w:t>Adatkezelés célja</w:t>
            </w:r>
          </w:p>
        </w:tc>
        <w:tc>
          <w:tcPr>
            <w:tcW w:w="6225" w:type="dxa"/>
          </w:tcPr>
          <w:p w14:paraId="4A542503" w14:textId="1AABD3FE" w:rsidR="00C85F8A" w:rsidRPr="00722EBF" w:rsidRDefault="00662806" w:rsidP="00FD3BCA">
            <w:pPr>
              <w:pStyle w:val="Listaszerbekezds"/>
              <w:ind w:left="0"/>
              <w:jc w:val="both"/>
              <w:rPr>
                <w:rFonts w:ascii="Times New Roman" w:hAnsi="Times New Roman"/>
                <w:bCs/>
                <w:sz w:val="20"/>
                <w:szCs w:val="20"/>
              </w:rPr>
            </w:pPr>
            <w:r w:rsidRPr="00722EBF">
              <w:rPr>
                <w:rFonts w:ascii="Times New Roman" w:hAnsi="Times New Roman"/>
                <w:bCs/>
                <w:sz w:val="20"/>
                <w:szCs w:val="20"/>
              </w:rPr>
              <w:t>A házasságban élő gyermekes szülők támogatása</w:t>
            </w:r>
            <w:r w:rsidR="0097066F" w:rsidRPr="00722EBF">
              <w:rPr>
                <w:rFonts w:ascii="Times New Roman" w:hAnsi="Times New Roman"/>
                <w:bCs/>
                <w:sz w:val="20"/>
                <w:szCs w:val="20"/>
              </w:rPr>
              <w:t xml:space="preserve"> az Nftv-ben előírtaknak megfelelően.</w:t>
            </w:r>
          </w:p>
        </w:tc>
      </w:tr>
      <w:tr w:rsidR="00C85F8A" w:rsidRPr="00722EBF" w14:paraId="456BDEC1" w14:textId="77777777" w:rsidTr="00FD3BCA">
        <w:tc>
          <w:tcPr>
            <w:tcW w:w="2729" w:type="dxa"/>
          </w:tcPr>
          <w:p w14:paraId="01F67F60" w14:textId="77777777" w:rsidR="00C85F8A" w:rsidRPr="00722EBF" w:rsidRDefault="00C85F8A" w:rsidP="00FD3BCA">
            <w:pPr>
              <w:pStyle w:val="Listaszerbekezds"/>
              <w:ind w:left="0"/>
              <w:jc w:val="both"/>
              <w:rPr>
                <w:rFonts w:ascii="Times New Roman" w:hAnsi="Times New Roman"/>
                <w:b/>
                <w:bCs/>
                <w:sz w:val="20"/>
                <w:szCs w:val="20"/>
              </w:rPr>
            </w:pPr>
            <w:r w:rsidRPr="00722EBF">
              <w:rPr>
                <w:rFonts w:ascii="Times New Roman" w:hAnsi="Times New Roman"/>
                <w:b/>
                <w:bCs/>
                <w:sz w:val="20"/>
                <w:szCs w:val="20"/>
              </w:rPr>
              <w:t>Kezelt adatok köre</w:t>
            </w:r>
          </w:p>
        </w:tc>
        <w:tc>
          <w:tcPr>
            <w:tcW w:w="6225" w:type="dxa"/>
          </w:tcPr>
          <w:p w14:paraId="68812AD0" w14:textId="2273E9FE" w:rsidR="00C85F8A" w:rsidRPr="00722EBF" w:rsidRDefault="00C85F8A" w:rsidP="00FD3BCA">
            <w:pPr>
              <w:pStyle w:val="Listaszerbekezds"/>
              <w:spacing w:after="0" w:line="240" w:lineRule="auto"/>
              <w:ind w:left="0"/>
              <w:jc w:val="both"/>
              <w:rPr>
                <w:rFonts w:ascii="Times New Roman" w:hAnsi="Times New Roman"/>
                <w:sz w:val="20"/>
                <w:szCs w:val="20"/>
              </w:rPr>
            </w:pPr>
            <w:r w:rsidRPr="00722EBF">
              <w:rPr>
                <w:rFonts w:ascii="Times New Roman" w:hAnsi="Times New Roman"/>
                <w:sz w:val="20"/>
              </w:rPr>
              <w:t>NE</w:t>
            </w:r>
            <w:r w:rsidRPr="00722EBF">
              <w:rPr>
                <w:rFonts w:ascii="Times New Roman" w:hAnsi="Times New Roman"/>
                <w:sz w:val="20"/>
                <w:szCs w:val="20"/>
              </w:rPr>
              <w:t xml:space="preserve">PTUN kód, név, </w:t>
            </w:r>
            <w:r w:rsidR="00CA0082" w:rsidRPr="00722EBF">
              <w:rPr>
                <w:rFonts w:ascii="Times New Roman" w:hAnsi="Times New Roman"/>
                <w:sz w:val="20"/>
                <w:szCs w:val="20"/>
              </w:rPr>
              <w:t>a kérelem benyújtására szolgáló űrlapon megadott adatok</w:t>
            </w:r>
            <w:r w:rsidR="00D40226" w:rsidRPr="00722EBF">
              <w:rPr>
                <w:rFonts w:ascii="Times New Roman" w:hAnsi="Times New Roman"/>
                <w:sz w:val="20"/>
                <w:szCs w:val="20"/>
              </w:rPr>
              <w:t xml:space="preserve"> és benyújtott igazolások.</w:t>
            </w:r>
          </w:p>
          <w:p w14:paraId="3E545C76" w14:textId="77777777" w:rsidR="00C85F8A" w:rsidRPr="00722EBF" w:rsidRDefault="00C85F8A" w:rsidP="00FD3BCA">
            <w:pPr>
              <w:pStyle w:val="Listaszerbekezds"/>
              <w:spacing w:after="0" w:line="240" w:lineRule="auto"/>
              <w:ind w:left="0"/>
              <w:jc w:val="both"/>
              <w:rPr>
                <w:rFonts w:ascii="Times New Roman" w:hAnsi="Times New Roman"/>
                <w:bCs/>
                <w:sz w:val="20"/>
                <w:szCs w:val="20"/>
              </w:rPr>
            </w:pPr>
          </w:p>
        </w:tc>
      </w:tr>
      <w:tr w:rsidR="00C85F8A" w:rsidRPr="00E770E7" w14:paraId="17C35A6E" w14:textId="77777777" w:rsidTr="00FD3BCA">
        <w:tc>
          <w:tcPr>
            <w:tcW w:w="2729" w:type="dxa"/>
          </w:tcPr>
          <w:p w14:paraId="564D5B51" w14:textId="77777777" w:rsidR="00C85F8A" w:rsidRPr="00722EBF" w:rsidRDefault="00C85F8A" w:rsidP="00FD3BCA">
            <w:pPr>
              <w:pStyle w:val="Listaszerbekezds"/>
              <w:ind w:left="0"/>
              <w:jc w:val="both"/>
              <w:rPr>
                <w:rFonts w:ascii="Times New Roman" w:hAnsi="Times New Roman"/>
                <w:b/>
                <w:bCs/>
                <w:sz w:val="20"/>
                <w:szCs w:val="20"/>
              </w:rPr>
            </w:pPr>
            <w:r w:rsidRPr="00722EBF">
              <w:rPr>
                <w:rFonts w:ascii="Times New Roman" w:hAnsi="Times New Roman"/>
                <w:b/>
                <w:bCs/>
                <w:sz w:val="20"/>
                <w:szCs w:val="20"/>
              </w:rPr>
              <w:t>Jogalap</w:t>
            </w:r>
          </w:p>
        </w:tc>
        <w:tc>
          <w:tcPr>
            <w:tcW w:w="6225" w:type="dxa"/>
          </w:tcPr>
          <w:p w14:paraId="70B51E05" w14:textId="2D3FB8F0" w:rsidR="00C85F8A" w:rsidRPr="00722EBF" w:rsidRDefault="00C85F8A" w:rsidP="00FD3BCA">
            <w:pPr>
              <w:jc w:val="both"/>
              <w:rPr>
                <w:sz w:val="20"/>
              </w:rPr>
            </w:pPr>
            <w:r w:rsidRPr="00722EBF">
              <w:rPr>
                <w:bCs/>
                <w:sz w:val="20"/>
              </w:rPr>
              <w:t xml:space="preserve">GDPR 6. cikk (1) bekezdés e) pontja - </w:t>
            </w:r>
            <w:r w:rsidRPr="00722EBF">
              <w:rPr>
                <w:sz w:val="20"/>
              </w:rPr>
              <w:t>az adatkezelés közérdekű feladat végrehajtása</w:t>
            </w:r>
            <w:r w:rsidR="002B60AE" w:rsidRPr="00722EBF">
              <w:rPr>
                <w:sz w:val="20"/>
              </w:rPr>
              <w:t>, a törvényi rendelkezések végrehajtása</w:t>
            </w:r>
            <w:r w:rsidRPr="00722EBF">
              <w:rPr>
                <w:sz w:val="20"/>
              </w:rPr>
              <w:t xml:space="preserve"> érdekében </w:t>
            </w:r>
            <w:proofErr w:type="gramStart"/>
            <w:r w:rsidRPr="00722EBF">
              <w:rPr>
                <w:sz w:val="20"/>
              </w:rPr>
              <w:t>szükséges</w:t>
            </w:r>
            <w:r w:rsidRPr="00722EBF" w:rsidDel="00FE48BC">
              <w:rPr>
                <w:bCs/>
                <w:sz w:val="20"/>
              </w:rPr>
              <w:t xml:space="preserve"> </w:t>
            </w:r>
            <w:r w:rsidRPr="00722EBF">
              <w:rPr>
                <w:sz w:val="20"/>
              </w:rPr>
              <w:t xml:space="preserve"> </w:t>
            </w:r>
            <w:r w:rsidR="001A3219" w:rsidRPr="00722EBF">
              <w:rPr>
                <w:sz w:val="20"/>
              </w:rPr>
              <w:t>(</w:t>
            </w:r>
            <w:proofErr w:type="gramEnd"/>
            <w:r w:rsidR="001A3219" w:rsidRPr="00722EBF">
              <w:rPr>
                <w:sz w:val="20"/>
              </w:rPr>
              <w:t>Nftv. 47. § (</w:t>
            </w:r>
            <w:r w:rsidR="003F7CA5" w:rsidRPr="00722EBF">
              <w:rPr>
                <w:sz w:val="20"/>
              </w:rPr>
              <w:t>6</w:t>
            </w:r>
            <w:r w:rsidR="001A3219" w:rsidRPr="00722EBF">
              <w:rPr>
                <w:sz w:val="20"/>
              </w:rPr>
              <w:t>)</w:t>
            </w:r>
            <w:r w:rsidR="00200854" w:rsidRPr="00722EBF">
              <w:rPr>
                <w:rStyle w:val="Lbjegyzet-hivatkozs"/>
                <w:sz w:val="20"/>
              </w:rPr>
              <w:footnoteReference w:id="5"/>
            </w:r>
            <w:r w:rsidR="00100FE4" w:rsidRPr="00722EBF">
              <w:rPr>
                <w:sz w:val="20"/>
              </w:rPr>
              <w:t>, 48.</w:t>
            </w:r>
            <w:r w:rsidR="001C5784" w:rsidRPr="00722EBF">
              <w:rPr>
                <w:sz w:val="20"/>
              </w:rPr>
              <w:t xml:space="preserve"> </w:t>
            </w:r>
            <w:r w:rsidR="00100FE4" w:rsidRPr="00722EBF">
              <w:rPr>
                <w:sz w:val="20"/>
              </w:rPr>
              <w:t>§ (5)</w:t>
            </w:r>
            <w:r w:rsidR="001C5784" w:rsidRPr="00722EBF">
              <w:rPr>
                <w:rStyle w:val="Lbjegyzet-hivatkozs"/>
                <w:sz w:val="20"/>
              </w:rPr>
              <w:footnoteReference w:id="6"/>
            </w:r>
            <w:r w:rsidR="00507E3C" w:rsidRPr="00722EBF">
              <w:rPr>
                <w:sz w:val="20"/>
              </w:rPr>
              <w:t xml:space="preserve"> </w:t>
            </w:r>
            <w:r w:rsidR="00100FE4" w:rsidRPr="00722EBF">
              <w:rPr>
                <w:sz w:val="20"/>
              </w:rPr>
              <w:t>bekezdése)</w:t>
            </w:r>
            <w:r w:rsidR="006F6459" w:rsidRPr="00722EBF">
              <w:rPr>
                <w:sz w:val="20"/>
              </w:rPr>
              <w:t>.</w:t>
            </w:r>
          </w:p>
          <w:p w14:paraId="6F4D9FB9" w14:textId="77777777" w:rsidR="00C85F8A" w:rsidRPr="00722EBF" w:rsidRDefault="00C85F8A" w:rsidP="00FD3BCA">
            <w:pPr>
              <w:jc w:val="both"/>
              <w:rPr>
                <w:bCs/>
                <w:sz w:val="20"/>
              </w:rPr>
            </w:pPr>
          </w:p>
          <w:p w14:paraId="0FF56A6E" w14:textId="77777777" w:rsidR="00C85F8A" w:rsidRDefault="00C85F8A" w:rsidP="00FD3BCA">
            <w:pPr>
              <w:pStyle w:val="Listaszerbekezds"/>
              <w:spacing w:after="0" w:line="240" w:lineRule="auto"/>
              <w:ind w:left="0"/>
              <w:jc w:val="both"/>
              <w:rPr>
                <w:rFonts w:ascii="Times New Roman" w:hAnsi="Times New Roman"/>
                <w:sz w:val="20"/>
                <w:szCs w:val="20"/>
              </w:rPr>
            </w:pPr>
            <w:r w:rsidRPr="00722EBF">
              <w:rPr>
                <w:rFonts w:ascii="Times New Roman" w:hAnsi="Times New Roman"/>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sidRPr="00722EBF">
              <w:rPr>
                <w:rFonts w:ascii="Times New Roman" w:hAnsi="Times New Roman"/>
                <w:sz w:val="20"/>
                <w:szCs w:val="20"/>
              </w:rPr>
              <w:t>erejű</w:t>
            </w:r>
            <w:proofErr w:type="spellEnd"/>
            <w:r w:rsidRPr="00722EBF">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5500B8EE" w14:textId="77777777" w:rsidR="00C85F8A" w:rsidRPr="00E770E7" w:rsidRDefault="00C85F8A" w:rsidP="00FD3BCA">
            <w:pPr>
              <w:pStyle w:val="Listaszerbekezds"/>
              <w:spacing w:after="0" w:line="240" w:lineRule="auto"/>
              <w:ind w:left="0"/>
              <w:jc w:val="both"/>
              <w:rPr>
                <w:bCs/>
                <w:sz w:val="20"/>
              </w:rPr>
            </w:pPr>
          </w:p>
        </w:tc>
      </w:tr>
      <w:tr w:rsidR="00C85F8A" w:rsidRPr="00A220B3" w14:paraId="63609C56" w14:textId="77777777" w:rsidTr="00FD3BCA">
        <w:tc>
          <w:tcPr>
            <w:tcW w:w="2729" w:type="dxa"/>
          </w:tcPr>
          <w:p w14:paraId="3C70EAE1" w14:textId="77777777" w:rsidR="00C85F8A" w:rsidRPr="00A220B3" w:rsidRDefault="00C85F8A" w:rsidP="00FD3BCA">
            <w:pPr>
              <w:pStyle w:val="Listaszerbekezds"/>
              <w:ind w:left="0"/>
              <w:jc w:val="both"/>
              <w:rPr>
                <w:rFonts w:ascii="Times New Roman" w:hAnsi="Times New Roman"/>
                <w:b/>
                <w:bCs/>
                <w:sz w:val="20"/>
                <w:szCs w:val="20"/>
              </w:rPr>
            </w:pPr>
            <w:r w:rsidRPr="00A220B3">
              <w:rPr>
                <w:rFonts w:ascii="Times New Roman" w:hAnsi="Times New Roman"/>
                <w:b/>
                <w:bCs/>
                <w:sz w:val="20"/>
                <w:szCs w:val="20"/>
              </w:rPr>
              <w:lastRenderedPageBreak/>
              <w:t>Időtartam</w:t>
            </w:r>
          </w:p>
        </w:tc>
        <w:tc>
          <w:tcPr>
            <w:tcW w:w="6225" w:type="dxa"/>
          </w:tcPr>
          <w:p w14:paraId="0EEA09DF" w14:textId="7632DB12" w:rsidR="00850605" w:rsidRPr="00722EBF" w:rsidRDefault="00850605" w:rsidP="00850605">
            <w:pPr>
              <w:jc w:val="both"/>
              <w:rPr>
                <w:rFonts w:eastAsia="Calibri"/>
                <w:sz w:val="20"/>
                <w:lang w:eastAsia="en-US"/>
              </w:rPr>
            </w:pPr>
            <w:r w:rsidRPr="00722EBF">
              <w:rPr>
                <w:rFonts w:eastAsia="Calibri"/>
                <w:sz w:val="20"/>
                <w:lang w:eastAsia="en-US"/>
              </w:rPr>
              <w:t>A</w:t>
            </w:r>
            <w:r w:rsidR="006F6459" w:rsidRPr="00722EBF">
              <w:rPr>
                <w:rFonts w:eastAsia="Calibri"/>
                <w:sz w:val="20"/>
                <w:lang w:eastAsia="en-US"/>
              </w:rPr>
              <w:t xml:space="preserve">z ELTE a </w:t>
            </w:r>
            <w:r w:rsidRPr="00722EBF">
              <w:rPr>
                <w:rFonts w:eastAsia="Calibri"/>
                <w:sz w:val="20"/>
                <w:lang w:eastAsia="en-US"/>
              </w:rPr>
              <w:t>hallgatói jogviszony megszűnésétől számított tíz évig tartja nyilván a magyar állami ösztöndíjas támogatási idő megállapítása céljából.</w:t>
            </w:r>
          </w:p>
          <w:p w14:paraId="4A1D5C09" w14:textId="77777777" w:rsidR="00C85F8A" w:rsidRPr="00722EBF" w:rsidRDefault="00C85F8A" w:rsidP="00681021">
            <w:pPr>
              <w:jc w:val="both"/>
              <w:rPr>
                <w:b/>
                <w:bCs/>
                <w:sz w:val="20"/>
              </w:rPr>
            </w:pPr>
          </w:p>
        </w:tc>
      </w:tr>
      <w:tr w:rsidR="00C85F8A" w:rsidRPr="00A220B3" w14:paraId="3E7B57E8" w14:textId="77777777" w:rsidTr="00FD3BCA">
        <w:tc>
          <w:tcPr>
            <w:tcW w:w="2729" w:type="dxa"/>
          </w:tcPr>
          <w:p w14:paraId="0C5A6BA2" w14:textId="77777777" w:rsidR="00C85F8A" w:rsidRPr="00A220B3" w:rsidRDefault="00C85F8A" w:rsidP="00FD3BCA">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225" w:type="dxa"/>
          </w:tcPr>
          <w:p w14:paraId="03DFD7E8" w14:textId="26CA0DEA" w:rsidR="00C85F8A" w:rsidRPr="00722EBF" w:rsidRDefault="00C85F8A" w:rsidP="00FD3BCA">
            <w:pPr>
              <w:pStyle w:val="Listaszerbekezds"/>
              <w:spacing w:after="0" w:line="240" w:lineRule="auto"/>
              <w:ind w:left="0"/>
              <w:jc w:val="both"/>
              <w:rPr>
                <w:rFonts w:ascii="Times New Roman" w:eastAsia="Times New Roman" w:hAnsi="Times New Roman"/>
                <w:bCs/>
                <w:sz w:val="20"/>
                <w:szCs w:val="20"/>
                <w:lang w:eastAsia="hu-HU"/>
              </w:rPr>
            </w:pPr>
            <w:r w:rsidRPr="00722EBF">
              <w:rPr>
                <w:rFonts w:ascii="Times New Roman" w:eastAsia="Times New Roman" w:hAnsi="Times New Roman"/>
                <w:bCs/>
                <w:sz w:val="20"/>
                <w:szCs w:val="20"/>
                <w:lang w:eastAsia="hu-HU"/>
              </w:rPr>
              <w:t>Az oktatási nyilvántartásról szóló 2018. évi LXXXIX. törvény értelmében az oktatási nyilvántartás működéséért felelős szerv részére az oktatási nyilvántartáson keresztül</w:t>
            </w:r>
            <w:r w:rsidR="009E3A91" w:rsidRPr="00722EBF">
              <w:rPr>
                <w:rFonts w:ascii="Times New Roman" w:eastAsia="Times New Roman" w:hAnsi="Times New Roman"/>
                <w:bCs/>
                <w:sz w:val="20"/>
                <w:szCs w:val="20"/>
                <w:lang w:eastAsia="hu-HU"/>
              </w:rPr>
              <w:t>.</w:t>
            </w:r>
          </w:p>
          <w:p w14:paraId="3D6A9FA5" w14:textId="77777777" w:rsidR="00C85F8A" w:rsidRPr="00722EBF" w:rsidRDefault="00C85F8A" w:rsidP="00FD3BCA">
            <w:pPr>
              <w:pStyle w:val="Listaszerbekezds"/>
              <w:spacing w:after="0" w:line="240" w:lineRule="auto"/>
              <w:ind w:left="0"/>
              <w:jc w:val="both"/>
              <w:rPr>
                <w:rFonts w:ascii="Times New Roman" w:hAnsi="Times New Roman"/>
                <w:sz w:val="20"/>
                <w:szCs w:val="20"/>
              </w:rPr>
            </w:pPr>
          </w:p>
        </w:tc>
      </w:tr>
      <w:tr w:rsidR="00681021" w:rsidRPr="00A220B3" w14:paraId="457D7CF4" w14:textId="77777777" w:rsidTr="00FD3BCA">
        <w:tc>
          <w:tcPr>
            <w:tcW w:w="2729" w:type="dxa"/>
          </w:tcPr>
          <w:p w14:paraId="7DC297D8" w14:textId="30B98C85" w:rsidR="00681021" w:rsidRDefault="00681021" w:rsidP="00FD3BCA">
            <w:pPr>
              <w:pStyle w:val="Listaszerbekezds"/>
              <w:ind w:left="0"/>
              <w:jc w:val="both"/>
              <w:rPr>
                <w:rFonts w:ascii="Times New Roman" w:hAnsi="Times New Roman"/>
                <w:b/>
                <w:bCs/>
                <w:sz w:val="20"/>
                <w:szCs w:val="20"/>
              </w:rPr>
            </w:pPr>
            <w:r>
              <w:rPr>
                <w:rFonts w:ascii="Times New Roman" w:hAnsi="Times New Roman"/>
                <w:b/>
                <w:bCs/>
                <w:sz w:val="20"/>
                <w:szCs w:val="20"/>
              </w:rPr>
              <w:t>Adatfeldolgozó</w:t>
            </w:r>
          </w:p>
        </w:tc>
        <w:tc>
          <w:tcPr>
            <w:tcW w:w="6225" w:type="dxa"/>
          </w:tcPr>
          <w:p w14:paraId="2D48309B" w14:textId="6038008E" w:rsidR="00681021" w:rsidRPr="00722EBF" w:rsidRDefault="00DF0AB1" w:rsidP="00FD3BCA">
            <w:pPr>
              <w:pStyle w:val="Listaszerbekezds"/>
              <w:spacing w:after="0" w:line="240" w:lineRule="auto"/>
              <w:ind w:left="0"/>
              <w:jc w:val="both"/>
              <w:rPr>
                <w:rFonts w:ascii="Times New Roman" w:eastAsia="Times New Roman" w:hAnsi="Times New Roman"/>
                <w:bCs/>
                <w:sz w:val="20"/>
                <w:szCs w:val="20"/>
                <w:lang w:eastAsia="hu-HU"/>
              </w:rPr>
            </w:pPr>
            <w:r w:rsidRPr="00722EBF">
              <w:rPr>
                <w:rFonts w:ascii="Times New Roman" w:eastAsia="Times New Roman" w:hAnsi="Times New Roman"/>
                <w:bCs/>
                <w:sz w:val="20"/>
                <w:szCs w:val="20"/>
                <w:lang w:eastAsia="hu-HU"/>
              </w:rPr>
              <w:t xml:space="preserve">A NEPTUN üzemeltetőjeként </w:t>
            </w:r>
            <w:r w:rsidR="00D12612" w:rsidRPr="00722EBF">
              <w:rPr>
                <w:rFonts w:ascii="Times New Roman" w:eastAsia="Times New Roman" w:hAnsi="Times New Roman"/>
                <w:bCs/>
                <w:sz w:val="20"/>
                <w:szCs w:val="20"/>
                <w:lang w:eastAsia="hu-HU"/>
              </w:rPr>
              <w:t xml:space="preserve">a Campus </w:t>
            </w:r>
            <w:proofErr w:type="spellStart"/>
            <w:r w:rsidR="00D12612" w:rsidRPr="00722EBF">
              <w:rPr>
                <w:rFonts w:ascii="Times New Roman" w:eastAsia="Times New Roman" w:hAnsi="Times New Roman"/>
                <w:bCs/>
                <w:sz w:val="20"/>
                <w:szCs w:val="20"/>
                <w:lang w:eastAsia="hu-HU"/>
              </w:rPr>
              <w:t>Codeworks</w:t>
            </w:r>
            <w:proofErr w:type="spellEnd"/>
            <w:r w:rsidRPr="00722EBF">
              <w:rPr>
                <w:rFonts w:ascii="Times New Roman" w:eastAsia="Times New Roman" w:hAnsi="Times New Roman"/>
                <w:bCs/>
                <w:sz w:val="20"/>
                <w:szCs w:val="20"/>
                <w:lang w:eastAsia="hu-HU"/>
              </w:rPr>
              <w:t xml:space="preserve"> Zrt.</w:t>
            </w:r>
          </w:p>
        </w:tc>
      </w:tr>
    </w:tbl>
    <w:p w14:paraId="3AC88FAB" w14:textId="3B3C6864" w:rsidR="00143210" w:rsidRPr="003F5720" w:rsidRDefault="00143210" w:rsidP="003F5720">
      <w:pPr>
        <w:rPr>
          <w:b/>
          <w:sz w:val="20"/>
        </w:rPr>
      </w:pPr>
    </w:p>
    <w:p w14:paraId="752B769B" w14:textId="4AA9F6A4" w:rsidR="008D3090" w:rsidRPr="006D5554" w:rsidRDefault="006D5554" w:rsidP="006D5554">
      <w:pPr>
        <w:ind w:firstLine="708"/>
        <w:jc w:val="both"/>
        <w:rPr>
          <w:b/>
          <w:sz w:val="20"/>
        </w:rPr>
      </w:pPr>
      <w:r>
        <w:rPr>
          <w:b/>
          <w:sz w:val="20"/>
        </w:rPr>
        <w:t xml:space="preserve">IV.  </w:t>
      </w:r>
      <w:r w:rsidR="00CF5CAA" w:rsidRPr="006D5554">
        <w:rPr>
          <w:b/>
          <w:sz w:val="20"/>
        </w:rPr>
        <w:t>H</w:t>
      </w:r>
      <w:r w:rsidR="008D3090" w:rsidRPr="006D5554">
        <w:rPr>
          <w:b/>
          <w:sz w:val="20"/>
        </w:rPr>
        <w:t>allgatói jogviszony megszűnését követően a kép</w:t>
      </w:r>
      <w:r w:rsidR="00941C80" w:rsidRPr="006D5554">
        <w:rPr>
          <w:b/>
          <w:sz w:val="20"/>
        </w:rPr>
        <w:t>zés minőségbiztosítása cél</w:t>
      </w:r>
      <w:r w:rsidR="00227A5B" w:rsidRPr="006D5554">
        <w:rPr>
          <w:b/>
          <w:sz w:val="20"/>
        </w:rPr>
        <w:t>jából</w:t>
      </w:r>
      <w:r w:rsidR="00941C80" w:rsidRPr="006D5554">
        <w:rPr>
          <w:b/>
          <w:sz w:val="20"/>
        </w:rPr>
        <w:t xml:space="preserve"> történő</w:t>
      </w:r>
      <w:r w:rsidR="008D3090" w:rsidRPr="006D5554">
        <w:rPr>
          <w:b/>
          <w:sz w:val="20"/>
        </w:rPr>
        <w:t xml:space="preserve"> megkereséshez</w:t>
      </w:r>
      <w:r w:rsidR="00B645D6" w:rsidRPr="006D5554">
        <w:rPr>
          <w:b/>
          <w:sz w:val="20"/>
        </w:rPr>
        <w:t xml:space="preserve"> (DPR</w:t>
      </w:r>
      <w:r w:rsidR="00CF5CAA" w:rsidRPr="006D5554">
        <w:rPr>
          <w:b/>
          <w:sz w:val="20"/>
        </w:rPr>
        <w:t>)</w:t>
      </w:r>
    </w:p>
    <w:p w14:paraId="3910C74D" w14:textId="77777777" w:rsidR="00B27FC2" w:rsidRDefault="00B27FC2" w:rsidP="00B27FC2">
      <w:pPr>
        <w:pStyle w:val="Listaszerbekezds"/>
        <w:ind w:left="1080"/>
        <w:rPr>
          <w:rFonts w:ascii="Times New Roman" w:hAnsi="Times New Roman"/>
          <w:b/>
          <w:sz w:val="20"/>
          <w:szCs w:val="20"/>
        </w:rPr>
      </w:pPr>
    </w:p>
    <w:tbl>
      <w:tblPr>
        <w:tblStyle w:val="Rcsostblzat"/>
        <w:tblW w:w="0" w:type="auto"/>
        <w:tblInd w:w="108" w:type="dxa"/>
        <w:tblLook w:val="04A0" w:firstRow="1" w:lastRow="0" w:firstColumn="1" w:lastColumn="0" w:noHBand="0" w:noVBand="1"/>
      </w:tblPr>
      <w:tblGrid>
        <w:gridCol w:w="2729"/>
        <w:gridCol w:w="6225"/>
      </w:tblGrid>
      <w:tr w:rsidR="008D3090" w:rsidRPr="00E770E7" w14:paraId="562F2570" w14:textId="77777777" w:rsidTr="00777F49">
        <w:tc>
          <w:tcPr>
            <w:tcW w:w="2729" w:type="dxa"/>
          </w:tcPr>
          <w:p w14:paraId="7734648A"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Adatkezelés célja</w:t>
            </w:r>
          </w:p>
        </w:tc>
        <w:tc>
          <w:tcPr>
            <w:tcW w:w="6225" w:type="dxa"/>
          </w:tcPr>
          <w:p w14:paraId="3001F560" w14:textId="3521780A" w:rsidR="008D3090" w:rsidRPr="00E770E7" w:rsidRDefault="0014400A" w:rsidP="00B27FC2">
            <w:pPr>
              <w:pStyle w:val="Listaszerbekezds"/>
              <w:ind w:left="0"/>
              <w:jc w:val="both"/>
              <w:rPr>
                <w:rFonts w:ascii="Times New Roman" w:hAnsi="Times New Roman"/>
                <w:bCs/>
                <w:sz w:val="20"/>
                <w:szCs w:val="20"/>
              </w:rPr>
            </w:pPr>
            <w:r w:rsidRPr="001D6F54">
              <w:rPr>
                <w:rFonts w:ascii="Times New Roman" w:hAnsi="Times New Roman"/>
                <w:bCs/>
                <w:sz w:val="20"/>
                <w:szCs w:val="20"/>
              </w:rPr>
              <w:t xml:space="preserve">Az </w:t>
            </w:r>
            <w:r w:rsidR="0054016A" w:rsidRPr="001D6F54">
              <w:rPr>
                <w:rFonts w:ascii="Times New Roman" w:hAnsi="Times New Roman"/>
                <w:bCs/>
                <w:sz w:val="20"/>
                <w:szCs w:val="20"/>
              </w:rPr>
              <w:t>Nftv. 18. § (1)</w:t>
            </w:r>
            <w:r w:rsidR="00621A44">
              <w:rPr>
                <w:rFonts w:ascii="Times New Roman" w:hAnsi="Times New Roman"/>
                <w:bCs/>
                <w:sz w:val="20"/>
                <w:szCs w:val="20"/>
              </w:rPr>
              <w:t xml:space="preserve"> bekezdés</w:t>
            </w:r>
            <w:r w:rsidR="0054016A" w:rsidRPr="001D6F54">
              <w:rPr>
                <w:rFonts w:ascii="Times New Roman" w:hAnsi="Times New Roman"/>
                <w:bCs/>
                <w:sz w:val="20"/>
                <w:szCs w:val="20"/>
              </w:rPr>
              <w:t xml:space="preserve"> g) pontja szerint</w:t>
            </w:r>
            <w:r w:rsidR="00FA20BF">
              <w:rPr>
                <w:rFonts w:ascii="Times New Roman" w:hAnsi="Times New Roman"/>
                <w:bCs/>
                <w:sz w:val="20"/>
                <w:szCs w:val="20"/>
              </w:rPr>
              <w:t>i</w:t>
            </w:r>
            <w:r w:rsidR="0054016A">
              <w:rPr>
                <w:rFonts w:ascii="Times New Roman" w:hAnsi="Times New Roman"/>
                <w:b/>
                <w:bCs/>
                <w:sz w:val="20"/>
                <w:szCs w:val="20"/>
              </w:rPr>
              <w:t xml:space="preserve"> </w:t>
            </w:r>
            <w:r w:rsidR="0054016A" w:rsidRPr="0014400A">
              <w:rPr>
                <w:rFonts w:ascii="Times New Roman" w:hAnsi="Times New Roman"/>
                <w:bCs/>
                <w:sz w:val="20"/>
                <w:szCs w:val="20"/>
              </w:rPr>
              <w:t>pályakövetés</w:t>
            </w:r>
            <w:r w:rsidR="00EA7C13">
              <w:rPr>
                <w:rFonts w:ascii="Times New Roman" w:hAnsi="Times New Roman"/>
                <w:bCs/>
                <w:sz w:val="20"/>
                <w:szCs w:val="20"/>
              </w:rPr>
              <w:t>.</w:t>
            </w:r>
          </w:p>
        </w:tc>
      </w:tr>
      <w:tr w:rsidR="007E5FEC" w:rsidRPr="00E770E7" w14:paraId="587AC7ED" w14:textId="77777777" w:rsidTr="00777F49">
        <w:tc>
          <w:tcPr>
            <w:tcW w:w="2729" w:type="dxa"/>
          </w:tcPr>
          <w:p w14:paraId="72C42262" w14:textId="09648074" w:rsidR="007E5FEC" w:rsidRPr="00E770E7" w:rsidRDefault="007E5FEC"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225" w:type="dxa"/>
          </w:tcPr>
          <w:p w14:paraId="596DEF2A" w14:textId="116F6062" w:rsidR="007E5FEC" w:rsidRDefault="007E5FEC" w:rsidP="002969F6">
            <w:pPr>
              <w:pStyle w:val="Listaszerbekezds"/>
              <w:spacing w:after="0" w:line="240" w:lineRule="auto"/>
              <w:ind w:left="0"/>
              <w:jc w:val="both"/>
              <w:rPr>
                <w:rFonts w:ascii="Times New Roman" w:hAnsi="Times New Roman"/>
                <w:sz w:val="20"/>
                <w:szCs w:val="20"/>
              </w:rPr>
            </w:pPr>
            <w:r w:rsidRPr="007E5FEC">
              <w:rPr>
                <w:rFonts w:ascii="Times New Roman" w:hAnsi="Times New Roman"/>
                <w:sz w:val="20"/>
              </w:rPr>
              <w:t>NE</w:t>
            </w:r>
            <w:r w:rsidRPr="007E5FEC">
              <w:rPr>
                <w:rFonts w:ascii="Times New Roman" w:hAnsi="Times New Roman"/>
                <w:sz w:val="20"/>
                <w:szCs w:val="20"/>
              </w:rPr>
              <w:t>PTUN kód, név, emailcím, végzés éve, képzési szint</w:t>
            </w:r>
            <w:r w:rsidR="003C58A0">
              <w:rPr>
                <w:rFonts w:ascii="Times New Roman" w:hAnsi="Times New Roman"/>
                <w:sz w:val="20"/>
                <w:szCs w:val="20"/>
              </w:rPr>
              <w:t xml:space="preserve"> </w:t>
            </w:r>
          </w:p>
          <w:p w14:paraId="696811AB" w14:textId="3845662F" w:rsidR="00CB4C26" w:rsidRPr="007E5FEC" w:rsidRDefault="00CB4C26" w:rsidP="002969F6">
            <w:pPr>
              <w:pStyle w:val="Listaszerbekezds"/>
              <w:spacing w:after="0" w:line="240" w:lineRule="auto"/>
              <w:ind w:left="0"/>
              <w:jc w:val="both"/>
              <w:rPr>
                <w:rFonts w:ascii="Times New Roman" w:hAnsi="Times New Roman"/>
                <w:bCs/>
                <w:sz w:val="20"/>
                <w:szCs w:val="20"/>
              </w:rPr>
            </w:pPr>
          </w:p>
        </w:tc>
      </w:tr>
      <w:tr w:rsidR="008D3090" w:rsidRPr="00E770E7" w14:paraId="328FE67B" w14:textId="77777777" w:rsidTr="00777F49">
        <w:tc>
          <w:tcPr>
            <w:tcW w:w="2729" w:type="dxa"/>
          </w:tcPr>
          <w:p w14:paraId="69BC110D" w14:textId="47B167E6"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225" w:type="dxa"/>
          </w:tcPr>
          <w:p w14:paraId="60F6AEBC" w14:textId="7360C6D8" w:rsidR="002B22F8" w:rsidRDefault="00BA4559" w:rsidP="00B27FC2">
            <w:pPr>
              <w:jc w:val="both"/>
              <w:rPr>
                <w:sz w:val="20"/>
              </w:rPr>
            </w:pPr>
            <w:r w:rsidRPr="00A25392">
              <w:rPr>
                <w:bCs/>
                <w:sz w:val="20"/>
              </w:rPr>
              <w:t>GDPR 6. cikk (1</w:t>
            </w:r>
            <w:r w:rsidRPr="004705FF">
              <w:rPr>
                <w:bCs/>
                <w:sz w:val="20"/>
              </w:rPr>
              <w:t>)</w:t>
            </w:r>
            <w:r w:rsidR="00621A44">
              <w:rPr>
                <w:bCs/>
                <w:sz w:val="20"/>
              </w:rPr>
              <w:t xml:space="preserve"> bekezdés </w:t>
            </w:r>
            <w:r w:rsidR="00FE48BC">
              <w:rPr>
                <w:bCs/>
                <w:sz w:val="20"/>
              </w:rPr>
              <w:t>e)</w:t>
            </w:r>
            <w:r w:rsidR="004532A0">
              <w:rPr>
                <w:bCs/>
                <w:sz w:val="20"/>
              </w:rPr>
              <w:t xml:space="preserve"> pontja</w:t>
            </w:r>
            <w:r w:rsidR="00B27FC2">
              <w:rPr>
                <w:bCs/>
                <w:sz w:val="20"/>
              </w:rPr>
              <w:t xml:space="preserve"> -</w:t>
            </w:r>
            <w:r w:rsidR="004532A0">
              <w:rPr>
                <w:bCs/>
                <w:sz w:val="20"/>
              </w:rPr>
              <w:t xml:space="preserve"> </w:t>
            </w:r>
            <w:r w:rsidR="004532A0">
              <w:rPr>
                <w:sz w:val="20"/>
              </w:rPr>
              <w:t>az adatkezelés közérdekű feladat végrehajtása (diplomás pályakövetési rendszer működtetése) érdekében szükséges</w:t>
            </w:r>
            <w:r w:rsidR="004532A0" w:rsidRPr="004705FF" w:rsidDel="00FE48BC">
              <w:rPr>
                <w:bCs/>
                <w:sz w:val="20"/>
              </w:rPr>
              <w:t xml:space="preserve"> </w:t>
            </w:r>
            <w:r>
              <w:rPr>
                <w:sz w:val="20"/>
              </w:rPr>
              <w:t>(Nftv. 18. §</w:t>
            </w:r>
            <w:r w:rsidR="000C17F5">
              <w:rPr>
                <w:sz w:val="20"/>
              </w:rPr>
              <w:t xml:space="preserve"> és 2018. évi LXXXIX. tv. az oktatási nyilvántartásról</w:t>
            </w:r>
            <w:r>
              <w:rPr>
                <w:sz w:val="20"/>
              </w:rPr>
              <w:t xml:space="preserve">). </w:t>
            </w:r>
          </w:p>
          <w:p w14:paraId="24EA5AE5" w14:textId="77777777" w:rsidR="000D31CD" w:rsidRDefault="000D31CD" w:rsidP="00B27FC2">
            <w:pPr>
              <w:jc w:val="both"/>
              <w:rPr>
                <w:bCs/>
                <w:sz w:val="20"/>
              </w:rPr>
            </w:pPr>
          </w:p>
          <w:p w14:paraId="7E545A10" w14:textId="77777777" w:rsidR="000D31CD" w:rsidRDefault="000D31CD" w:rsidP="002969F6">
            <w:pPr>
              <w:pStyle w:val="Listaszerbekezds"/>
              <w:spacing w:after="0" w:line="240" w:lineRule="auto"/>
              <w:ind w:left="0"/>
              <w:jc w:val="both"/>
              <w:rPr>
                <w:rFonts w:ascii="Times New Roman" w:hAnsi="Times New Roman"/>
                <w:sz w:val="20"/>
                <w:szCs w:val="20"/>
              </w:rPr>
            </w:pPr>
            <w:r>
              <w:rPr>
                <w:rFonts w:ascii="Times New Roman" w:hAnsi="Times New Roman"/>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Pr>
                <w:rFonts w:ascii="Times New Roman" w:hAnsi="Times New Roman"/>
                <w:sz w:val="20"/>
                <w:szCs w:val="20"/>
              </w:rPr>
              <w:t>erejű</w:t>
            </w:r>
            <w:proofErr w:type="spellEnd"/>
            <w:r>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6EE717FB" w14:textId="697D1325" w:rsidR="00CB4C26" w:rsidRPr="00E770E7" w:rsidRDefault="00CB4C26" w:rsidP="002969F6">
            <w:pPr>
              <w:pStyle w:val="Listaszerbekezds"/>
              <w:spacing w:after="0" w:line="240" w:lineRule="auto"/>
              <w:ind w:left="0"/>
              <w:jc w:val="both"/>
              <w:rPr>
                <w:bCs/>
                <w:sz w:val="20"/>
              </w:rPr>
            </w:pPr>
          </w:p>
        </w:tc>
      </w:tr>
      <w:tr w:rsidR="008D3090" w:rsidRPr="00A220B3" w14:paraId="16648D13" w14:textId="77777777" w:rsidTr="00777F49">
        <w:tc>
          <w:tcPr>
            <w:tcW w:w="2729" w:type="dxa"/>
          </w:tcPr>
          <w:p w14:paraId="5589BE8B" w14:textId="77777777" w:rsidR="008D3090" w:rsidRPr="00A220B3" w:rsidRDefault="008D3090" w:rsidP="00173244">
            <w:pPr>
              <w:pStyle w:val="Listaszerbekezds"/>
              <w:ind w:left="0"/>
              <w:jc w:val="both"/>
              <w:rPr>
                <w:rFonts w:ascii="Times New Roman" w:hAnsi="Times New Roman"/>
                <w:b/>
                <w:bCs/>
                <w:sz w:val="20"/>
                <w:szCs w:val="20"/>
              </w:rPr>
            </w:pPr>
            <w:r w:rsidRPr="00A220B3">
              <w:rPr>
                <w:rFonts w:ascii="Times New Roman" w:hAnsi="Times New Roman"/>
                <w:b/>
                <w:bCs/>
                <w:sz w:val="20"/>
                <w:szCs w:val="20"/>
              </w:rPr>
              <w:t>Időtartam</w:t>
            </w:r>
          </w:p>
        </w:tc>
        <w:tc>
          <w:tcPr>
            <w:tcW w:w="6225" w:type="dxa"/>
          </w:tcPr>
          <w:p w14:paraId="3BB194A8" w14:textId="77777777" w:rsidR="001F52C8" w:rsidRDefault="00BA4559" w:rsidP="00B27FC2">
            <w:pPr>
              <w:jc w:val="both"/>
              <w:rPr>
                <w:bCs/>
                <w:sz w:val="20"/>
              </w:rPr>
            </w:pPr>
            <w:r w:rsidRPr="00BA4559">
              <w:rPr>
                <w:bCs/>
                <w:sz w:val="20"/>
              </w:rPr>
              <w:t>Az Nftv. 3. melléklet I/B. 3. pontja értelmében a hallgatói jogviszony megszűnésére vonatkozó bejelentéstől számított nyolcvan évig.</w:t>
            </w:r>
          </w:p>
          <w:p w14:paraId="205FCDBD" w14:textId="53BAADFD" w:rsidR="00B27FC2" w:rsidRPr="00A220B3" w:rsidRDefault="00B27FC2" w:rsidP="00B27FC2">
            <w:pPr>
              <w:jc w:val="both"/>
              <w:rPr>
                <w:b/>
                <w:bCs/>
                <w:sz w:val="20"/>
              </w:rPr>
            </w:pPr>
          </w:p>
        </w:tc>
      </w:tr>
      <w:tr w:rsidR="00FE7899" w:rsidRPr="00A220B3" w14:paraId="57646F81" w14:textId="77777777" w:rsidTr="00777F49">
        <w:tc>
          <w:tcPr>
            <w:tcW w:w="2729" w:type="dxa"/>
          </w:tcPr>
          <w:p w14:paraId="773AB2BC" w14:textId="43167EC8" w:rsidR="00FE7899" w:rsidRPr="00A220B3" w:rsidRDefault="00FE7899" w:rsidP="00173244">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225" w:type="dxa"/>
          </w:tcPr>
          <w:p w14:paraId="56A9B570" w14:textId="77777777" w:rsidR="00D126A3" w:rsidRDefault="00DF2CD2" w:rsidP="00295892">
            <w:pPr>
              <w:pStyle w:val="Listaszerbekezds"/>
              <w:spacing w:after="0" w:line="240" w:lineRule="auto"/>
              <w:ind w:left="0"/>
              <w:jc w:val="both"/>
              <w:rPr>
                <w:rFonts w:ascii="Times New Roman" w:eastAsia="Times New Roman" w:hAnsi="Times New Roman"/>
                <w:bCs/>
                <w:sz w:val="20"/>
                <w:szCs w:val="20"/>
                <w:lang w:eastAsia="hu-HU"/>
              </w:rPr>
            </w:pPr>
            <w:r w:rsidRPr="00ED68C8">
              <w:rPr>
                <w:rFonts w:ascii="Times New Roman" w:eastAsia="Times New Roman" w:hAnsi="Times New Roman"/>
                <w:bCs/>
                <w:sz w:val="20"/>
                <w:szCs w:val="20"/>
                <w:lang w:eastAsia="hu-HU"/>
              </w:rPr>
              <w:t>A</w:t>
            </w:r>
            <w:r>
              <w:rPr>
                <w:rFonts w:ascii="Times New Roman" w:eastAsia="Times New Roman" w:hAnsi="Times New Roman"/>
                <w:bCs/>
                <w:sz w:val="20"/>
                <w:szCs w:val="20"/>
                <w:lang w:eastAsia="hu-HU"/>
              </w:rPr>
              <w:t xml:space="preserve">z </w:t>
            </w:r>
            <w:r w:rsidRPr="00DF2CD2">
              <w:rPr>
                <w:rFonts w:ascii="Times New Roman" w:eastAsia="Times New Roman" w:hAnsi="Times New Roman"/>
                <w:bCs/>
                <w:sz w:val="20"/>
                <w:szCs w:val="20"/>
                <w:lang w:eastAsia="hu-HU"/>
              </w:rPr>
              <w:t>oktatási nyilvántartásról</w:t>
            </w:r>
            <w:r w:rsidRPr="00ED68C8">
              <w:rPr>
                <w:rFonts w:ascii="Times New Roman" w:eastAsia="Times New Roman" w:hAnsi="Times New Roman"/>
                <w:bCs/>
                <w:sz w:val="20"/>
                <w:szCs w:val="20"/>
                <w:lang w:eastAsia="hu-HU"/>
              </w:rPr>
              <w:t xml:space="preserve"> </w:t>
            </w:r>
            <w:r>
              <w:rPr>
                <w:rFonts w:ascii="Times New Roman" w:eastAsia="Times New Roman" w:hAnsi="Times New Roman"/>
                <w:bCs/>
                <w:sz w:val="20"/>
                <w:szCs w:val="20"/>
                <w:lang w:eastAsia="hu-HU"/>
              </w:rPr>
              <w:t xml:space="preserve">szóló </w:t>
            </w:r>
            <w:r w:rsidRPr="00ED68C8">
              <w:rPr>
                <w:rFonts w:ascii="Times New Roman" w:eastAsia="Times New Roman" w:hAnsi="Times New Roman"/>
                <w:bCs/>
                <w:sz w:val="20"/>
                <w:szCs w:val="20"/>
                <w:lang w:eastAsia="hu-HU"/>
              </w:rPr>
              <w:t>2018. évi LXXXIX. törvény értelmében</w:t>
            </w:r>
            <w:r>
              <w:rPr>
                <w:rFonts w:ascii="Times New Roman" w:eastAsia="Times New Roman" w:hAnsi="Times New Roman"/>
                <w:bCs/>
                <w:sz w:val="20"/>
                <w:szCs w:val="20"/>
                <w:lang w:eastAsia="hu-HU"/>
              </w:rPr>
              <w:t xml:space="preserve"> az</w:t>
            </w:r>
            <w:r w:rsidRPr="00ED68C8">
              <w:rPr>
                <w:rFonts w:ascii="Times New Roman" w:eastAsia="Times New Roman" w:hAnsi="Times New Roman"/>
                <w:bCs/>
                <w:sz w:val="20"/>
                <w:szCs w:val="20"/>
                <w:lang w:eastAsia="hu-HU"/>
              </w:rPr>
              <w:t xml:space="preserve"> oktatási nyilvántartás működéséért felelős szerv részére</w:t>
            </w:r>
            <w:r>
              <w:rPr>
                <w:rFonts w:ascii="Times New Roman" w:eastAsia="Times New Roman" w:hAnsi="Times New Roman"/>
                <w:bCs/>
                <w:sz w:val="20"/>
                <w:szCs w:val="20"/>
                <w:lang w:eastAsia="hu-HU"/>
              </w:rPr>
              <w:t xml:space="preserve"> </w:t>
            </w:r>
            <w:r w:rsidRPr="00780EDC">
              <w:rPr>
                <w:rFonts w:ascii="Times New Roman" w:eastAsia="Times New Roman" w:hAnsi="Times New Roman"/>
                <w:bCs/>
                <w:sz w:val="20"/>
                <w:szCs w:val="20"/>
                <w:lang w:eastAsia="hu-HU"/>
              </w:rPr>
              <w:t>az oktatási nyilvántartáson keresztül.</w:t>
            </w:r>
          </w:p>
          <w:p w14:paraId="21E7DF0B" w14:textId="05102009" w:rsidR="00CB4C26" w:rsidRPr="00E67F91" w:rsidRDefault="00CB4C26" w:rsidP="00295892">
            <w:pPr>
              <w:pStyle w:val="Listaszerbekezds"/>
              <w:spacing w:after="0" w:line="240" w:lineRule="auto"/>
              <w:ind w:left="0"/>
              <w:jc w:val="both"/>
              <w:rPr>
                <w:rFonts w:ascii="Times New Roman" w:hAnsi="Times New Roman"/>
                <w:sz w:val="20"/>
                <w:szCs w:val="20"/>
                <w:highlight w:val="lightGray"/>
              </w:rPr>
            </w:pPr>
          </w:p>
        </w:tc>
      </w:tr>
    </w:tbl>
    <w:p w14:paraId="47D5426B" w14:textId="77777777" w:rsidR="000D31CD" w:rsidRDefault="000D31CD" w:rsidP="000D31CD">
      <w:pPr>
        <w:jc w:val="both"/>
        <w:rPr>
          <w:b/>
          <w:sz w:val="20"/>
        </w:rPr>
      </w:pPr>
    </w:p>
    <w:p w14:paraId="2FFE1774" w14:textId="2126E150" w:rsidR="00B27FC2" w:rsidRDefault="00B27FC2" w:rsidP="006E05B3">
      <w:pPr>
        <w:pStyle w:val="Listaszerbekezds"/>
        <w:numPr>
          <w:ilvl w:val="0"/>
          <w:numId w:val="16"/>
        </w:numPr>
        <w:rPr>
          <w:rFonts w:ascii="Times New Roman" w:hAnsi="Times New Roman"/>
          <w:b/>
          <w:sz w:val="20"/>
        </w:rPr>
      </w:pPr>
      <w:r w:rsidRPr="00D8392C">
        <w:rPr>
          <w:rFonts w:ascii="Times New Roman" w:hAnsi="Times New Roman"/>
          <w:b/>
          <w:sz w:val="20"/>
        </w:rPr>
        <w:t xml:space="preserve">A hallgatók részére </w:t>
      </w:r>
      <w:proofErr w:type="spellStart"/>
      <w:r w:rsidR="000D31CD" w:rsidRPr="00D8392C">
        <w:rPr>
          <w:rFonts w:ascii="Times New Roman" w:hAnsi="Times New Roman"/>
          <w:b/>
          <w:sz w:val="20"/>
        </w:rPr>
        <w:t>Neptun</w:t>
      </w:r>
      <w:r w:rsidR="009C1A46" w:rsidRPr="00D8392C">
        <w:rPr>
          <w:rFonts w:ascii="Times New Roman" w:hAnsi="Times New Roman"/>
          <w:b/>
          <w:sz w:val="20"/>
        </w:rPr>
        <w:t>ban</w:t>
      </w:r>
      <w:proofErr w:type="spellEnd"/>
      <w:r w:rsidR="009C1A46" w:rsidRPr="00D8392C">
        <w:rPr>
          <w:rFonts w:ascii="Times New Roman" w:hAnsi="Times New Roman"/>
          <w:b/>
          <w:sz w:val="20"/>
        </w:rPr>
        <w:t xml:space="preserve"> kiküldött személyes üzenetek</w:t>
      </w:r>
      <w:r w:rsidR="000D31CD" w:rsidRPr="00D8392C">
        <w:rPr>
          <w:rFonts w:ascii="Times New Roman" w:hAnsi="Times New Roman"/>
          <w:b/>
          <w:sz w:val="20"/>
        </w:rPr>
        <w:t xml:space="preserve"> </w:t>
      </w:r>
    </w:p>
    <w:p w14:paraId="6B9E8B82" w14:textId="77777777" w:rsidR="006E05B3" w:rsidRPr="006E05B3" w:rsidRDefault="006E05B3" w:rsidP="006E05B3">
      <w:pPr>
        <w:pStyle w:val="Listaszerbekezds"/>
        <w:ind w:left="1800"/>
        <w:rPr>
          <w:rFonts w:ascii="Times New Roman" w:hAnsi="Times New Roman"/>
          <w:b/>
          <w:sz w:val="20"/>
        </w:rPr>
      </w:pPr>
      <w:bookmarkStart w:id="0" w:name="_GoBack"/>
      <w:bookmarkEnd w:id="0"/>
    </w:p>
    <w:tbl>
      <w:tblPr>
        <w:tblStyle w:val="Rcsostblzat"/>
        <w:tblW w:w="0" w:type="auto"/>
        <w:tblInd w:w="108" w:type="dxa"/>
        <w:tblLook w:val="04A0" w:firstRow="1" w:lastRow="0" w:firstColumn="1" w:lastColumn="0" w:noHBand="0" w:noVBand="1"/>
      </w:tblPr>
      <w:tblGrid>
        <w:gridCol w:w="2729"/>
        <w:gridCol w:w="6225"/>
      </w:tblGrid>
      <w:tr w:rsidR="000D31CD" w:rsidRPr="00E770E7" w14:paraId="5DF2F8B8" w14:textId="77777777" w:rsidTr="00B0652B">
        <w:tc>
          <w:tcPr>
            <w:tcW w:w="2729" w:type="dxa"/>
          </w:tcPr>
          <w:p w14:paraId="543A8557" w14:textId="77777777" w:rsidR="000D31CD" w:rsidRPr="00E770E7" w:rsidRDefault="000D31CD" w:rsidP="00B0652B">
            <w:pPr>
              <w:pStyle w:val="Listaszerbekezds"/>
              <w:ind w:left="0"/>
              <w:jc w:val="both"/>
              <w:rPr>
                <w:rFonts w:ascii="Times New Roman" w:hAnsi="Times New Roman"/>
                <w:b/>
                <w:bCs/>
                <w:sz w:val="20"/>
                <w:szCs w:val="20"/>
              </w:rPr>
            </w:pPr>
            <w:r w:rsidRPr="00E770E7">
              <w:rPr>
                <w:rFonts w:ascii="Times New Roman" w:hAnsi="Times New Roman"/>
                <w:b/>
                <w:bCs/>
                <w:sz w:val="20"/>
                <w:szCs w:val="20"/>
              </w:rPr>
              <w:t>Adatkezelés célja</w:t>
            </w:r>
          </w:p>
        </w:tc>
        <w:tc>
          <w:tcPr>
            <w:tcW w:w="6225" w:type="dxa"/>
          </w:tcPr>
          <w:p w14:paraId="641A3F15" w14:textId="5EB12705" w:rsidR="00CB4C26" w:rsidRPr="00E770E7" w:rsidRDefault="004010A6" w:rsidP="00C0509A">
            <w:pPr>
              <w:pStyle w:val="Listaszerbekezds"/>
              <w:spacing w:after="0" w:line="240" w:lineRule="auto"/>
              <w:ind w:left="0"/>
              <w:jc w:val="both"/>
              <w:rPr>
                <w:rFonts w:ascii="Times New Roman" w:hAnsi="Times New Roman"/>
                <w:bCs/>
                <w:sz w:val="20"/>
                <w:szCs w:val="20"/>
              </w:rPr>
            </w:pPr>
            <w:r>
              <w:rPr>
                <w:rFonts w:ascii="Times New Roman" w:hAnsi="Times New Roman"/>
                <w:bCs/>
                <w:sz w:val="20"/>
                <w:szCs w:val="20"/>
              </w:rPr>
              <w:t>Tájékoztatás hallgatói jogviszonyból fakadó jogok gyakorlásával és kötelezettségek teljesítésével összefüggő információkról; t</w:t>
            </w:r>
            <w:r w:rsidR="000D31CD" w:rsidRPr="00EE43CE">
              <w:rPr>
                <w:rFonts w:ascii="Times New Roman" w:hAnsi="Times New Roman"/>
                <w:bCs/>
                <w:sz w:val="20"/>
                <w:szCs w:val="20"/>
              </w:rPr>
              <w:t>ájékoztatás az egyetemi élet</w:t>
            </w:r>
            <w:r w:rsidR="000D31CD">
              <w:rPr>
                <w:rFonts w:ascii="Times New Roman" w:hAnsi="Times New Roman"/>
                <w:bCs/>
                <w:sz w:val="20"/>
                <w:szCs w:val="20"/>
              </w:rPr>
              <w:t>hez</w:t>
            </w:r>
            <w:r w:rsidR="001B50C6">
              <w:rPr>
                <w:rFonts w:ascii="Times New Roman" w:hAnsi="Times New Roman"/>
                <w:bCs/>
                <w:sz w:val="20"/>
                <w:szCs w:val="20"/>
              </w:rPr>
              <w:t xml:space="preserve"> kapcsolódó eseményekről</w:t>
            </w:r>
            <w:r w:rsidR="000D31CD" w:rsidRPr="00EE43CE">
              <w:rPr>
                <w:rFonts w:ascii="Times New Roman" w:hAnsi="Times New Roman"/>
                <w:bCs/>
                <w:sz w:val="20"/>
                <w:szCs w:val="20"/>
              </w:rPr>
              <w:t>, egyetem</w:t>
            </w:r>
            <w:r w:rsidR="003A255E">
              <w:rPr>
                <w:rFonts w:ascii="Times New Roman" w:hAnsi="Times New Roman"/>
                <w:bCs/>
                <w:sz w:val="20"/>
                <w:szCs w:val="20"/>
              </w:rPr>
              <w:t>i</w:t>
            </w:r>
            <w:r w:rsidR="000D31CD" w:rsidRPr="00EE43CE">
              <w:rPr>
                <w:rFonts w:ascii="Times New Roman" w:hAnsi="Times New Roman"/>
                <w:bCs/>
                <w:sz w:val="20"/>
                <w:szCs w:val="20"/>
              </w:rPr>
              <w:t xml:space="preserve"> rendezvényekről, </w:t>
            </w:r>
            <w:r w:rsidR="000D31CD" w:rsidRPr="006C5555">
              <w:rPr>
                <w:rFonts w:ascii="Times New Roman" w:hAnsi="Times New Roman"/>
                <w:bCs/>
                <w:sz w:val="20"/>
                <w:szCs w:val="20"/>
              </w:rPr>
              <w:t>kutatásokban való részvételi lehetőségekre való figyelemfelhívás</w:t>
            </w:r>
            <w:r w:rsidR="00D26233">
              <w:rPr>
                <w:rFonts w:ascii="Times New Roman" w:hAnsi="Times New Roman"/>
                <w:bCs/>
                <w:sz w:val="20"/>
                <w:szCs w:val="20"/>
              </w:rPr>
              <w:t>.</w:t>
            </w:r>
          </w:p>
        </w:tc>
      </w:tr>
      <w:tr w:rsidR="000D31CD" w:rsidRPr="00E770E7" w14:paraId="094A742B" w14:textId="77777777" w:rsidTr="00B0652B">
        <w:tc>
          <w:tcPr>
            <w:tcW w:w="2729" w:type="dxa"/>
          </w:tcPr>
          <w:p w14:paraId="4D3CA0DB" w14:textId="77777777" w:rsidR="000D31CD" w:rsidRPr="00E770E7" w:rsidRDefault="000D31CD" w:rsidP="00B0652B">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225" w:type="dxa"/>
          </w:tcPr>
          <w:p w14:paraId="059CC670" w14:textId="77777777" w:rsidR="000D31CD" w:rsidRDefault="00EE32D7" w:rsidP="002969F6">
            <w:pPr>
              <w:pStyle w:val="Listaszerbekezds"/>
              <w:spacing w:after="0" w:line="240" w:lineRule="auto"/>
              <w:ind w:left="0"/>
              <w:jc w:val="both"/>
              <w:rPr>
                <w:rFonts w:ascii="Times New Roman" w:hAnsi="Times New Roman"/>
                <w:bCs/>
                <w:sz w:val="20"/>
                <w:szCs w:val="20"/>
              </w:rPr>
            </w:pPr>
            <w:r>
              <w:rPr>
                <w:rFonts w:ascii="Times New Roman" w:hAnsi="Times New Roman"/>
                <w:bCs/>
                <w:sz w:val="20"/>
                <w:szCs w:val="20"/>
              </w:rPr>
              <w:t>Neptun kód, név, e-mail; az értesítés tartalmától függően a t</w:t>
            </w:r>
            <w:r w:rsidR="00197854">
              <w:rPr>
                <w:rFonts w:ascii="Times New Roman" w:hAnsi="Times New Roman"/>
                <w:bCs/>
                <w:sz w:val="20"/>
                <w:szCs w:val="20"/>
              </w:rPr>
              <w:t>anulmányi előmenetellel</w:t>
            </w:r>
            <w:r>
              <w:rPr>
                <w:rFonts w:ascii="Times New Roman" w:hAnsi="Times New Roman"/>
                <w:bCs/>
                <w:sz w:val="20"/>
                <w:szCs w:val="20"/>
              </w:rPr>
              <w:t>, hallgatói jogviszonyból fakadó jogok gyakorlásával és kötelezettségek teljesítésével összefüggő</w:t>
            </w:r>
            <w:r w:rsidR="00197854">
              <w:rPr>
                <w:rFonts w:ascii="Times New Roman" w:hAnsi="Times New Roman"/>
                <w:bCs/>
                <w:sz w:val="20"/>
                <w:szCs w:val="20"/>
              </w:rPr>
              <w:t xml:space="preserve"> adatok</w:t>
            </w:r>
            <w:r w:rsidR="00D26233">
              <w:rPr>
                <w:rFonts w:ascii="Times New Roman" w:hAnsi="Times New Roman"/>
                <w:bCs/>
                <w:sz w:val="20"/>
                <w:szCs w:val="20"/>
              </w:rPr>
              <w:t>.</w:t>
            </w:r>
          </w:p>
          <w:p w14:paraId="29F3CE9F" w14:textId="6A742AD9" w:rsidR="00CB4C26" w:rsidRPr="007E5FEC" w:rsidRDefault="00CB4C26" w:rsidP="002969F6">
            <w:pPr>
              <w:pStyle w:val="Listaszerbekezds"/>
              <w:spacing w:after="0" w:line="240" w:lineRule="auto"/>
              <w:ind w:left="0"/>
              <w:jc w:val="both"/>
              <w:rPr>
                <w:rFonts w:ascii="Times New Roman" w:hAnsi="Times New Roman"/>
                <w:bCs/>
                <w:sz w:val="20"/>
                <w:szCs w:val="20"/>
              </w:rPr>
            </w:pPr>
          </w:p>
        </w:tc>
      </w:tr>
      <w:tr w:rsidR="000D31CD" w:rsidRPr="00E770E7" w14:paraId="2B566278" w14:textId="77777777" w:rsidTr="00B0652B">
        <w:tc>
          <w:tcPr>
            <w:tcW w:w="2729" w:type="dxa"/>
          </w:tcPr>
          <w:p w14:paraId="08575743" w14:textId="77777777" w:rsidR="000D31CD" w:rsidRPr="00E770E7" w:rsidRDefault="000D31CD" w:rsidP="00B0652B">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225" w:type="dxa"/>
          </w:tcPr>
          <w:p w14:paraId="19BB5D50" w14:textId="38255664" w:rsidR="000D31CD" w:rsidRDefault="000D31CD" w:rsidP="00B0652B">
            <w:pPr>
              <w:rPr>
                <w:sz w:val="20"/>
              </w:rPr>
            </w:pPr>
            <w:r w:rsidRPr="00A25392">
              <w:rPr>
                <w:bCs/>
                <w:sz w:val="20"/>
              </w:rPr>
              <w:t xml:space="preserve">GDPR 6. </w:t>
            </w:r>
            <w:r w:rsidRPr="006C5555">
              <w:rPr>
                <w:sz w:val="20"/>
              </w:rPr>
              <w:t>cikk (1) bekezdés e)</w:t>
            </w:r>
            <w:r w:rsidR="00B27FC2">
              <w:rPr>
                <w:sz w:val="20"/>
              </w:rPr>
              <w:t xml:space="preserve"> pontja</w:t>
            </w:r>
            <w:r w:rsidRPr="006C5555">
              <w:rPr>
                <w:sz w:val="20"/>
              </w:rPr>
              <w:t xml:space="preserve"> – az adatkezelés közérdekű feladat végrehajtásához sz</w:t>
            </w:r>
            <w:r>
              <w:rPr>
                <w:sz w:val="20"/>
              </w:rPr>
              <w:t>ü</w:t>
            </w:r>
            <w:r w:rsidRPr="006C5555">
              <w:rPr>
                <w:sz w:val="20"/>
              </w:rPr>
              <w:t>k</w:t>
            </w:r>
            <w:r>
              <w:rPr>
                <w:sz w:val="20"/>
              </w:rPr>
              <w:t>s</w:t>
            </w:r>
            <w:r w:rsidRPr="006C5555">
              <w:rPr>
                <w:sz w:val="20"/>
              </w:rPr>
              <w:t>éges (</w:t>
            </w:r>
            <w:r>
              <w:rPr>
                <w:sz w:val="20"/>
              </w:rPr>
              <w:t xml:space="preserve">Nftv. 18. § </w:t>
            </w:r>
            <w:r w:rsidR="00F7758E">
              <w:rPr>
                <w:sz w:val="20"/>
              </w:rPr>
              <w:t>- lásd első blokk</w:t>
            </w:r>
            <w:r>
              <w:rPr>
                <w:sz w:val="20"/>
              </w:rPr>
              <w:t>)</w:t>
            </w:r>
            <w:r w:rsidR="00D26233">
              <w:rPr>
                <w:sz w:val="20"/>
              </w:rPr>
              <w:t>.</w:t>
            </w:r>
          </w:p>
          <w:p w14:paraId="43F793D7" w14:textId="77777777" w:rsidR="000D31CD" w:rsidRDefault="000D31CD" w:rsidP="00B0652B">
            <w:pPr>
              <w:rPr>
                <w:sz w:val="20"/>
              </w:rPr>
            </w:pPr>
          </w:p>
          <w:p w14:paraId="376228D1" w14:textId="77777777" w:rsidR="000D31CD" w:rsidRDefault="000D31CD" w:rsidP="002969F6">
            <w:pPr>
              <w:pStyle w:val="Listaszerbekezds"/>
              <w:spacing w:after="0" w:line="240" w:lineRule="auto"/>
              <w:ind w:left="0"/>
              <w:jc w:val="both"/>
              <w:rPr>
                <w:rFonts w:ascii="Times New Roman" w:hAnsi="Times New Roman"/>
                <w:sz w:val="20"/>
                <w:szCs w:val="20"/>
              </w:rPr>
            </w:pPr>
            <w:r>
              <w:rPr>
                <w:rFonts w:ascii="Times New Roman" w:hAnsi="Times New Roman"/>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Pr>
                <w:rFonts w:ascii="Times New Roman" w:hAnsi="Times New Roman"/>
                <w:sz w:val="20"/>
                <w:szCs w:val="20"/>
              </w:rPr>
              <w:t>erejű</w:t>
            </w:r>
            <w:proofErr w:type="spellEnd"/>
            <w:r>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7A5F0BD8" w14:textId="6A7576F9" w:rsidR="00CB4C26" w:rsidRPr="00E770E7" w:rsidRDefault="00CB4C26" w:rsidP="002969F6">
            <w:pPr>
              <w:pStyle w:val="Listaszerbekezds"/>
              <w:spacing w:after="0" w:line="240" w:lineRule="auto"/>
              <w:ind w:left="0"/>
              <w:jc w:val="both"/>
              <w:rPr>
                <w:bCs/>
                <w:sz w:val="20"/>
              </w:rPr>
            </w:pPr>
          </w:p>
        </w:tc>
      </w:tr>
      <w:tr w:rsidR="000D31CD" w:rsidRPr="00A220B3" w14:paraId="2E29E6D4" w14:textId="77777777" w:rsidTr="00B0652B">
        <w:tc>
          <w:tcPr>
            <w:tcW w:w="2729" w:type="dxa"/>
          </w:tcPr>
          <w:p w14:paraId="2C0C58F5" w14:textId="77777777" w:rsidR="000D31CD" w:rsidRPr="00A220B3" w:rsidRDefault="000D31CD" w:rsidP="00B0652B">
            <w:pPr>
              <w:pStyle w:val="Listaszerbekezds"/>
              <w:ind w:left="0"/>
              <w:jc w:val="both"/>
              <w:rPr>
                <w:rFonts w:ascii="Times New Roman" w:hAnsi="Times New Roman"/>
                <w:b/>
                <w:bCs/>
                <w:sz w:val="20"/>
                <w:szCs w:val="20"/>
              </w:rPr>
            </w:pPr>
            <w:r w:rsidRPr="00A220B3">
              <w:rPr>
                <w:rFonts w:ascii="Times New Roman" w:hAnsi="Times New Roman"/>
                <w:b/>
                <w:bCs/>
                <w:sz w:val="20"/>
                <w:szCs w:val="20"/>
              </w:rPr>
              <w:lastRenderedPageBreak/>
              <w:t>Időtartam</w:t>
            </w:r>
          </w:p>
        </w:tc>
        <w:tc>
          <w:tcPr>
            <w:tcW w:w="6225" w:type="dxa"/>
          </w:tcPr>
          <w:p w14:paraId="70BD6DCB" w14:textId="4FD225D9" w:rsidR="000D31CD" w:rsidRPr="00A220B3" w:rsidRDefault="000D31CD" w:rsidP="00B27FC2">
            <w:pPr>
              <w:jc w:val="both"/>
              <w:rPr>
                <w:b/>
                <w:bCs/>
                <w:sz w:val="20"/>
              </w:rPr>
            </w:pPr>
            <w:r w:rsidRPr="00BA4559">
              <w:rPr>
                <w:bCs/>
                <w:sz w:val="20"/>
              </w:rPr>
              <w:t>A</w:t>
            </w:r>
            <w:r>
              <w:rPr>
                <w:bCs/>
                <w:sz w:val="20"/>
              </w:rPr>
              <w:t xml:space="preserve"> hallgatói jogviszony végéig</w:t>
            </w:r>
            <w:r w:rsidR="00E82BB0">
              <w:rPr>
                <w:bCs/>
                <w:sz w:val="20"/>
              </w:rPr>
              <w:t>, de legkésőbb az oklevél kiadásáig</w:t>
            </w:r>
            <w:r>
              <w:rPr>
                <w:bCs/>
                <w:sz w:val="20"/>
              </w:rPr>
              <w:t xml:space="preserve">. </w:t>
            </w:r>
          </w:p>
        </w:tc>
      </w:tr>
      <w:tr w:rsidR="000D31CD" w:rsidRPr="00A220B3" w14:paraId="4996A4B9" w14:textId="77777777" w:rsidTr="00B0652B">
        <w:tc>
          <w:tcPr>
            <w:tcW w:w="2729" w:type="dxa"/>
          </w:tcPr>
          <w:p w14:paraId="18892404" w14:textId="77777777" w:rsidR="000D31CD" w:rsidRPr="00A220B3" w:rsidRDefault="000D31CD" w:rsidP="00B0652B">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225" w:type="dxa"/>
          </w:tcPr>
          <w:p w14:paraId="60376E7D" w14:textId="6FF35E31" w:rsidR="000D31CD" w:rsidRPr="00E67F91" w:rsidRDefault="000D31CD" w:rsidP="00B27FC2">
            <w:pPr>
              <w:pStyle w:val="Listaszerbekezds"/>
              <w:ind w:left="0"/>
              <w:jc w:val="both"/>
              <w:rPr>
                <w:rFonts w:ascii="Times New Roman" w:hAnsi="Times New Roman"/>
                <w:sz w:val="20"/>
                <w:szCs w:val="20"/>
                <w:highlight w:val="lightGray"/>
              </w:rPr>
            </w:pPr>
            <w:r>
              <w:rPr>
                <w:rFonts w:ascii="Times New Roman" w:hAnsi="Times New Roman"/>
                <w:sz w:val="20"/>
                <w:szCs w:val="20"/>
              </w:rPr>
              <w:t xml:space="preserve">Nem </w:t>
            </w:r>
            <w:r w:rsidR="003A255E">
              <w:rPr>
                <w:rFonts w:ascii="Times New Roman" w:hAnsi="Times New Roman"/>
                <w:sz w:val="20"/>
                <w:szCs w:val="20"/>
              </w:rPr>
              <w:t>történik</w:t>
            </w:r>
            <w:r>
              <w:rPr>
                <w:rFonts w:ascii="Times New Roman" w:hAnsi="Times New Roman"/>
                <w:sz w:val="20"/>
                <w:szCs w:val="20"/>
              </w:rPr>
              <w:t>.</w:t>
            </w:r>
          </w:p>
        </w:tc>
      </w:tr>
    </w:tbl>
    <w:p w14:paraId="333A3BF4" w14:textId="77777777" w:rsidR="000D31CD" w:rsidRPr="0038397D" w:rsidRDefault="000D31CD" w:rsidP="000D31CD">
      <w:pPr>
        <w:jc w:val="both"/>
        <w:rPr>
          <w:sz w:val="20"/>
        </w:rPr>
      </w:pPr>
    </w:p>
    <w:p w14:paraId="4736F5B4" w14:textId="77777777" w:rsidR="001E52BE" w:rsidRPr="001E52BE" w:rsidRDefault="001E52BE" w:rsidP="0038397D">
      <w:pPr>
        <w:jc w:val="both"/>
        <w:rPr>
          <w:sz w:val="20"/>
        </w:rPr>
      </w:pPr>
    </w:p>
    <w:p w14:paraId="6FB21221" w14:textId="77777777" w:rsidR="004752F4" w:rsidRPr="00A00D06" w:rsidRDefault="004752F4" w:rsidP="004752F4">
      <w:pPr>
        <w:jc w:val="both"/>
        <w:rPr>
          <w:b/>
          <w:bCs/>
          <w:sz w:val="20"/>
          <w:u w:val="single"/>
        </w:rPr>
      </w:pPr>
      <w:r w:rsidRPr="00A00D06">
        <w:rPr>
          <w:b/>
          <w:bCs/>
          <w:sz w:val="20"/>
          <w:u w:val="single"/>
        </w:rPr>
        <w:t>Az Önt megillető jogosultságok (részletes kifejtését a jelen tájékoztató melléklete tartalmazza):</w:t>
      </w:r>
    </w:p>
    <w:p w14:paraId="1D6E7167" w14:textId="77777777" w:rsidR="004752F4" w:rsidRPr="00A00D06" w:rsidRDefault="004752F4" w:rsidP="004752F4">
      <w:pPr>
        <w:numPr>
          <w:ilvl w:val="0"/>
          <w:numId w:val="10"/>
        </w:numPr>
        <w:ind w:left="284" w:hanging="284"/>
        <w:jc w:val="both"/>
        <w:rPr>
          <w:sz w:val="20"/>
        </w:rPr>
      </w:pPr>
      <w:r w:rsidRPr="00A00D06">
        <w:rPr>
          <w:b/>
          <w:sz w:val="20"/>
        </w:rPr>
        <w:t>az átlátható tájékoztatáshoz való jog</w:t>
      </w:r>
      <w:r w:rsidRPr="00A00D06">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3101482C" w14:textId="77777777" w:rsidR="004752F4" w:rsidRPr="00A00D06" w:rsidRDefault="004752F4" w:rsidP="004752F4">
      <w:pPr>
        <w:numPr>
          <w:ilvl w:val="0"/>
          <w:numId w:val="10"/>
        </w:numPr>
        <w:ind w:left="284" w:hanging="284"/>
        <w:jc w:val="both"/>
        <w:rPr>
          <w:sz w:val="20"/>
        </w:rPr>
      </w:pPr>
      <w:r w:rsidRPr="00A00D06">
        <w:rPr>
          <w:b/>
          <w:sz w:val="20"/>
        </w:rPr>
        <w:t>a személyes adataihoz való hozzáférés joga</w:t>
      </w:r>
      <w:r w:rsidRPr="00A00D06">
        <w:rPr>
          <w:sz w:val="20"/>
        </w:rPr>
        <w:t xml:space="preserve"> – Ön bármikor megkérdezheti az adatkezelőtől, hogy személyes adatainak kezelése folyamatban van-e, az adatkezelésről teljes körű tájékoztatást kérhet, továbbá kérheti, hogy</w:t>
      </w:r>
      <w:r w:rsidRPr="00A00D06">
        <w:rPr>
          <w:sz w:val="20"/>
          <w:szCs w:val="22"/>
        </w:rPr>
        <w:t xml:space="preserve"> személyes adatairól másolatot kapjon</w:t>
      </w:r>
      <w:r w:rsidRPr="00A00D06">
        <w:rPr>
          <w:sz w:val="20"/>
        </w:rPr>
        <w:t>;</w:t>
      </w:r>
    </w:p>
    <w:p w14:paraId="193A8BF7" w14:textId="77777777" w:rsidR="004752F4" w:rsidRPr="00A00D06" w:rsidRDefault="004752F4" w:rsidP="004752F4">
      <w:pPr>
        <w:numPr>
          <w:ilvl w:val="0"/>
          <w:numId w:val="10"/>
        </w:numPr>
        <w:ind w:left="284" w:hanging="284"/>
        <w:jc w:val="both"/>
        <w:rPr>
          <w:sz w:val="20"/>
        </w:rPr>
      </w:pPr>
      <w:r w:rsidRPr="00A00D06">
        <w:rPr>
          <w:b/>
          <w:sz w:val="20"/>
        </w:rPr>
        <w:t>személyes adatai helyesbítéséhez való jog</w:t>
      </w:r>
      <w:r w:rsidRPr="00A00D06">
        <w:rPr>
          <w:sz w:val="20"/>
        </w:rPr>
        <w:t xml:space="preserve"> – Ön </w:t>
      </w:r>
      <w:r w:rsidRPr="00A00D06">
        <w:rPr>
          <w:sz w:val="20"/>
          <w:szCs w:val="22"/>
        </w:rPr>
        <w:t xml:space="preserve">kérheti, hogy </w:t>
      </w:r>
      <w:r w:rsidRPr="00A00D06">
        <w:rPr>
          <w:sz w:val="20"/>
        </w:rPr>
        <w:t>az adatkezelő az Ön</w:t>
      </w:r>
      <w:r w:rsidRPr="00A00D06">
        <w:rPr>
          <w:sz w:val="20"/>
          <w:szCs w:val="22"/>
        </w:rPr>
        <w:t xml:space="preserve"> pontatlan személyes adatait </w:t>
      </w:r>
      <w:r w:rsidRPr="00A00D06">
        <w:rPr>
          <w:sz w:val="20"/>
        </w:rPr>
        <w:t>j</w:t>
      </w:r>
      <w:r w:rsidRPr="00A00D06">
        <w:rPr>
          <w:sz w:val="20"/>
          <w:szCs w:val="22"/>
        </w:rPr>
        <w:t>avítsa ki, vagy ha hiányosak, azokat egészítse ki;</w:t>
      </w:r>
      <w:r w:rsidRPr="00A00D06">
        <w:rPr>
          <w:sz w:val="20"/>
        </w:rPr>
        <w:t xml:space="preserve"> </w:t>
      </w:r>
    </w:p>
    <w:p w14:paraId="76183D3F" w14:textId="77777777" w:rsidR="004752F4" w:rsidRPr="00A00D06" w:rsidRDefault="004752F4" w:rsidP="004752F4">
      <w:pPr>
        <w:numPr>
          <w:ilvl w:val="0"/>
          <w:numId w:val="10"/>
        </w:numPr>
        <w:ind w:left="284" w:hanging="284"/>
        <w:jc w:val="both"/>
        <w:rPr>
          <w:sz w:val="20"/>
        </w:rPr>
      </w:pPr>
      <w:r w:rsidRPr="00A00D06">
        <w:rPr>
          <w:b/>
          <w:sz w:val="20"/>
        </w:rPr>
        <w:t>személyes adatainak törléséhez való jog</w:t>
      </w:r>
      <w:r w:rsidRPr="00A00D06">
        <w:rPr>
          <w:sz w:val="20"/>
        </w:rPr>
        <w:t xml:space="preserve"> – Ön kérheti, hogy személyes adatait az adatkezelő törölje;</w:t>
      </w:r>
    </w:p>
    <w:p w14:paraId="1AF294C6" w14:textId="77777777" w:rsidR="004752F4" w:rsidRPr="00A00D06" w:rsidRDefault="004752F4" w:rsidP="004752F4">
      <w:pPr>
        <w:numPr>
          <w:ilvl w:val="0"/>
          <w:numId w:val="10"/>
        </w:numPr>
        <w:ind w:left="284" w:hanging="284"/>
        <w:jc w:val="both"/>
        <w:rPr>
          <w:sz w:val="20"/>
        </w:rPr>
      </w:pPr>
      <w:r w:rsidRPr="00A00D06">
        <w:rPr>
          <w:b/>
          <w:sz w:val="20"/>
        </w:rPr>
        <w:t>az adatkezelés korlátozásához való jog</w:t>
      </w:r>
      <w:r w:rsidRPr="00A00D06">
        <w:rPr>
          <w:sz w:val="20"/>
        </w:rPr>
        <w:t xml:space="preserve"> – Ön (pl. jogi igények előterjesztése, érvényesítése vagy védelme érdekében) kérheti, hogy személyes adatait az adatkezelő csak tárolja, és más módon ne kezelje;</w:t>
      </w:r>
    </w:p>
    <w:p w14:paraId="67421F35" w14:textId="77777777" w:rsidR="004752F4" w:rsidRPr="00A00D06" w:rsidRDefault="004752F4" w:rsidP="004752F4">
      <w:pPr>
        <w:numPr>
          <w:ilvl w:val="0"/>
          <w:numId w:val="10"/>
        </w:numPr>
        <w:ind w:left="284" w:hanging="284"/>
        <w:jc w:val="both"/>
        <w:rPr>
          <w:sz w:val="20"/>
        </w:rPr>
      </w:pPr>
      <w:r w:rsidRPr="00A00D06">
        <w:rPr>
          <w:b/>
          <w:sz w:val="20"/>
        </w:rPr>
        <w:t>a helyesbítésről, törlésről vagy adatkezelés-korlátozásról tájékoztatott címzettek személyére vonatkozó tájékoztatás</w:t>
      </w:r>
      <w:r w:rsidRPr="00A00D06">
        <w:rPr>
          <w:sz w:val="20"/>
        </w:rPr>
        <w:t xml:space="preserve"> </w:t>
      </w:r>
      <w:r w:rsidRPr="00A00D06">
        <w:rPr>
          <w:b/>
          <w:sz w:val="20"/>
        </w:rPr>
        <w:t>–</w:t>
      </w:r>
      <w:r w:rsidRPr="00A00D06">
        <w:rPr>
          <w:sz w:val="20"/>
        </w:rPr>
        <w:t xml:space="preserve"> kérésére tájékoztatjuk Önt a hivatkozott címzettekről; </w:t>
      </w:r>
    </w:p>
    <w:p w14:paraId="6EB425B1" w14:textId="77777777" w:rsidR="004752F4" w:rsidRPr="00A00D06" w:rsidRDefault="004752F4" w:rsidP="004752F4">
      <w:pPr>
        <w:numPr>
          <w:ilvl w:val="0"/>
          <w:numId w:val="10"/>
        </w:numPr>
        <w:ind w:left="284" w:hanging="284"/>
        <w:jc w:val="both"/>
        <w:rPr>
          <w:b/>
          <w:sz w:val="20"/>
        </w:rPr>
      </w:pPr>
      <w:bookmarkStart w:id="1" w:name="_Hlk42600310"/>
      <w:r w:rsidRPr="00A00D06">
        <w:rPr>
          <w:b/>
          <w:sz w:val="20"/>
        </w:rPr>
        <w:t>adathordozhatósághoz való jog</w:t>
      </w:r>
      <w:r w:rsidRPr="00A00D06">
        <w:rPr>
          <w:sz w:val="20"/>
        </w:rPr>
        <w:t xml:space="preserve"> </w:t>
      </w:r>
      <w:r w:rsidRPr="00A00D06">
        <w:rPr>
          <w:b/>
          <w:sz w:val="20"/>
        </w:rPr>
        <w:t xml:space="preserve">– </w:t>
      </w:r>
      <w:bookmarkStart w:id="2" w:name="_Hlk42599917"/>
      <w:r w:rsidRPr="00A00D06">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sidRPr="00A00D06">
        <w:rPr>
          <w:sz w:val="20"/>
        </w:rPr>
        <w:t>;</w:t>
      </w:r>
    </w:p>
    <w:p w14:paraId="1016F7A8" w14:textId="77777777" w:rsidR="004752F4" w:rsidRPr="00A00D06" w:rsidRDefault="004752F4" w:rsidP="004752F4">
      <w:pPr>
        <w:numPr>
          <w:ilvl w:val="0"/>
          <w:numId w:val="10"/>
        </w:numPr>
        <w:ind w:left="284" w:hanging="284"/>
        <w:jc w:val="both"/>
        <w:rPr>
          <w:b/>
          <w:sz w:val="20"/>
        </w:rPr>
      </w:pPr>
      <w:bookmarkStart w:id="3" w:name="_Hlk42601017"/>
      <w:bookmarkEnd w:id="1"/>
      <w:r w:rsidRPr="00A00D06">
        <w:rPr>
          <w:b/>
          <w:sz w:val="20"/>
        </w:rPr>
        <w:t>tiltakozáshoz való jog</w:t>
      </w:r>
      <w:r w:rsidRPr="00A00D06">
        <w:rPr>
          <w:sz w:val="20"/>
        </w:rPr>
        <w:t xml:space="preserve"> </w:t>
      </w:r>
      <w:r w:rsidRPr="00A00D06">
        <w:rPr>
          <w:b/>
          <w:sz w:val="20"/>
        </w:rPr>
        <w:t xml:space="preserve">– </w:t>
      </w:r>
      <w:r w:rsidRPr="00A00D06">
        <w:rPr>
          <w:sz w:val="20"/>
        </w:rPr>
        <w:t xml:space="preserve">Ön bármikor tiltakozhat személyes adatainak kezelése ellen, feltéve, hogy az adatkezelés jogalapja jogos érdek vagy </w:t>
      </w:r>
      <w:r w:rsidRPr="00A00D06">
        <w:rPr>
          <w:color w:val="000000"/>
          <w:sz w:val="20"/>
          <w:shd w:val="clear" w:color="auto" w:fill="FFFFFF"/>
        </w:rPr>
        <w:t xml:space="preserve">az adatkezelés </w:t>
      </w:r>
      <w:proofErr w:type="gramStart"/>
      <w:r w:rsidRPr="00A00D06">
        <w:rPr>
          <w:color w:val="000000"/>
          <w:sz w:val="20"/>
          <w:shd w:val="clear" w:color="auto" w:fill="FFFFFF"/>
        </w:rPr>
        <w:t>közérdekű</w:t>
      </w:r>
      <w:proofErr w:type="gramEnd"/>
      <w:r w:rsidRPr="00A00D06">
        <w:rPr>
          <w:color w:val="000000"/>
          <w:sz w:val="20"/>
          <w:shd w:val="clear" w:color="auto" w:fill="FFFFFF"/>
        </w:rPr>
        <w:t xml:space="preserve"> vagy az adatkezelőre ruházott közhatalmi jogosítvány gyakorlásának keretében végzett feladat végrehajtásához szükséges</w:t>
      </w:r>
      <w:bookmarkEnd w:id="3"/>
      <w:r w:rsidRPr="00A00D06">
        <w:rPr>
          <w:sz w:val="20"/>
        </w:rPr>
        <w:t>;</w:t>
      </w:r>
      <w:r w:rsidRPr="00A00D06">
        <w:rPr>
          <w:b/>
          <w:sz w:val="20"/>
        </w:rPr>
        <w:t xml:space="preserve"> </w:t>
      </w:r>
    </w:p>
    <w:p w14:paraId="5C27A15A" w14:textId="77777777" w:rsidR="004752F4" w:rsidRPr="00A00D06" w:rsidRDefault="004752F4" w:rsidP="004752F4">
      <w:pPr>
        <w:numPr>
          <w:ilvl w:val="0"/>
          <w:numId w:val="10"/>
        </w:numPr>
        <w:ind w:left="284" w:hanging="284"/>
        <w:jc w:val="both"/>
        <w:rPr>
          <w:sz w:val="20"/>
        </w:rPr>
      </w:pPr>
      <w:r w:rsidRPr="00A00D06">
        <w:rPr>
          <w:b/>
          <w:sz w:val="20"/>
        </w:rPr>
        <w:t>automatizált döntéshozatal elleni fellépéshez való jog</w:t>
      </w:r>
      <w:r w:rsidRPr="00A00D06">
        <w:rPr>
          <w:sz w:val="20"/>
        </w:rPr>
        <w:t xml:space="preserve"> </w:t>
      </w:r>
      <w:r w:rsidRPr="00A00D06">
        <w:rPr>
          <w:b/>
          <w:sz w:val="20"/>
        </w:rPr>
        <w:t xml:space="preserve">– </w:t>
      </w:r>
      <w:r w:rsidRPr="00A00D06">
        <w:rPr>
          <w:sz w:val="20"/>
        </w:rPr>
        <w:t xml:space="preserve">kérheti, hogy ne terjedjen ki Önre a döntés hatálya. Kérjük, jelezze, ha ilyet észlel! </w:t>
      </w:r>
      <w:r w:rsidRPr="00A00D06">
        <w:rPr>
          <w:iCs/>
          <w:sz w:val="20"/>
        </w:rPr>
        <w:t>Ha a jelen tájékoztató nem tartalmaz információkat az automatizált döntéshozatalról, akkor az ez elleni fellépéshez való jog értelemszerűen nem releváns</w:t>
      </w:r>
      <w:r w:rsidRPr="00A00D06">
        <w:rPr>
          <w:sz w:val="20"/>
        </w:rPr>
        <w:t>.</w:t>
      </w:r>
    </w:p>
    <w:p w14:paraId="7765D1CF" w14:textId="77777777" w:rsidR="004752F4" w:rsidRPr="00A00D06" w:rsidRDefault="004752F4" w:rsidP="004752F4">
      <w:pPr>
        <w:numPr>
          <w:ilvl w:val="0"/>
          <w:numId w:val="10"/>
        </w:numPr>
        <w:ind w:left="284" w:hanging="284"/>
        <w:jc w:val="both"/>
        <w:rPr>
          <w:sz w:val="20"/>
        </w:rPr>
      </w:pPr>
      <w:r w:rsidRPr="00A00D06">
        <w:rPr>
          <w:b/>
          <w:sz w:val="20"/>
        </w:rPr>
        <w:t>jogorvoslathoz való jog</w:t>
      </w:r>
      <w:r w:rsidRPr="00A00D06">
        <w:rPr>
          <w:sz w:val="20"/>
        </w:rPr>
        <w:t xml:space="preserve"> </w:t>
      </w:r>
      <w:r w:rsidRPr="00A00D06">
        <w:rPr>
          <w:b/>
          <w:sz w:val="20"/>
        </w:rPr>
        <w:t>–</w:t>
      </w:r>
      <w:r w:rsidRPr="00A00D06">
        <w:rPr>
          <w:sz w:val="20"/>
        </w:rPr>
        <w:t xml:space="preserve"> jogainak megsértése esetén az ELTE adatvédelmi tisztviselőjéhez vagy a Nemzeti Adatvédelmi és Információszabadság Hatósághoz vagy bírósághoz fordulhat.</w:t>
      </w:r>
    </w:p>
    <w:p w14:paraId="182EE36B" w14:textId="77777777" w:rsidR="004752F4" w:rsidRPr="00A00D06" w:rsidRDefault="004752F4" w:rsidP="004752F4">
      <w:pPr>
        <w:jc w:val="both"/>
        <w:rPr>
          <w:b/>
          <w:color w:val="000000"/>
          <w:sz w:val="20"/>
          <w:u w:val="single"/>
        </w:rPr>
      </w:pPr>
    </w:p>
    <w:p w14:paraId="59D74507" w14:textId="77777777" w:rsidR="004752F4" w:rsidRPr="00A00D06" w:rsidRDefault="004752F4" w:rsidP="004752F4">
      <w:pPr>
        <w:jc w:val="both"/>
        <w:rPr>
          <w:b/>
          <w:color w:val="000000"/>
          <w:sz w:val="20"/>
          <w:u w:val="single"/>
        </w:rPr>
      </w:pPr>
      <w:r w:rsidRPr="00A00D06">
        <w:rPr>
          <w:b/>
          <w:color w:val="000000"/>
          <w:sz w:val="20"/>
          <w:u w:val="single"/>
        </w:rPr>
        <w:t>Hová fordulhat, ha jogorvoslattal szeretne élni, vagy ha kérdése van?</w:t>
      </w:r>
    </w:p>
    <w:p w14:paraId="3280107C" w14:textId="77777777" w:rsidR="004752F4" w:rsidRPr="00A00D06" w:rsidRDefault="004752F4" w:rsidP="004752F4">
      <w:pPr>
        <w:pStyle w:val="NormlWeb"/>
        <w:spacing w:before="0" w:beforeAutospacing="0" w:after="0" w:afterAutospacing="0"/>
        <w:jc w:val="both"/>
        <w:rPr>
          <w:sz w:val="20"/>
          <w:szCs w:val="20"/>
          <w:u w:val="single"/>
        </w:rPr>
      </w:pPr>
      <w:r w:rsidRPr="00A00D06">
        <w:rPr>
          <w:color w:val="000000"/>
          <w:sz w:val="20"/>
          <w:szCs w:val="20"/>
          <w:u w:val="single"/>
        </w:rPr>
        <w:t>Az Egyetem adatvédelmi</w:t>
      </w:r>
      <w:r w:rsidRPr="00A00D06">
        <w:rPr>
          <w:sz w:val="20"/>
          <w:szCs w:val="20"/>
          <w:u w:val="single"/>
        </w:rPr>
        <w:t xml:space="preserve"> tisztviselőjéhez </w:t>
      </w:r>
    </w:p>
    <w:p w14:paraId="760530F2" w14:textId="1817062B" w:rsidR="004752F4" w:rsidRPr="00A00D06" w:rsidRDefault="004752F4" w:rsidP="004752F4">
      <w:pPr>
        <w:ind w:left="284"/>
        <w:jc w:val="both"/>
        <w:rPr>
          <w:sz w:val="20"/>
        </w:rPr>
      </w:pPr>
      <w:r w:rsidRPr="00A00D06">
        <w:rPr>
          <w:sz w:val="20"/>
        </w:rPr>
        <w:t>Adatvédelmi Iroda</w:t>
      </w:r>
    </w:p>
    <w:p w14:paraId="50E639D0" w14:textId="42F41334" w:rsidR="00B9674E" w:rsidRPr="00B9674E" w:rsidRDefault="00B9674E" w:rsidP="00B9674E">
      <w:pPr>
        <w:ind w:firstLine="284"/>
        <w:jc w:val="both"/>
        <w:rPr>
          <w:sz w:val="20"/>
        </w:rPr>
      </w:pPr>
      <w:r w:rsidRPr="00B9674E">
        <w:rPr>
          <w:sz w:val="20"/>
        </w:rPr>
        <w:t>1056 Budapest, Szerb utca 21-23.</w:t>
      </w:r>
    </w:p>
    <w:p w14:paraId="510F8852" w14:textId="47E3B097" w:rsidR="004752F4" w:rsidRPr="00A00D06" w:rsidRDefault="004752F4" w:rsidP="004752F4">
      <w:pPr>
        <w:ind w:left="284"/>
        <w:jc w:val="both"/>
        <w:rPr>
          <w:sz w:val="20"/>
        </w:rPr>
      </w:pPr>
      <w:r w:rsidRPr="00A00D06">
        <w:rPr>
          <w:sz w:val="20"/>
        </w:rPr>
        <w:t>Email: adatvedelem@elte.hu</w:t>
      </w:r>
    </w:p>
    <w:p w14:paraId="5BED8063" w14:textId="77777777" w:rsidR="004752F4" w:rsidRPr="00A00D06" w:rsidRDefault="004752F4" w:rsidP="004752F4">
      <w:pPr>
        <w:jc w:val="both"/>
        <w:rPr>
          <w:sz w:val="20"/>
          <w:u w:val="single"/>
        </w:rPr>
      </w:pPr>
    </w:p>
    <w:p w14:paraId="4163448F" w14:textId="77777777" w:rsidR="004752F4" w:rsidRPr="00A00D06" w:rsidRDefault="004752F4" w:rsidP="004752F4">
      <w:pPr>
        <w:jc w:val="both"/>
        <w:rPr>
          <w:sz w:val="20"/>
          <w:u w:val="single"/>
        </w:rPr>
      </w:pPr>
      <w:r w:rsidRPr="00A00D06">
        <w:rPr>
          <w:sz w:val="20"/>
          <w:u w:val="single"/>
        </w:rPr>
        <w:t>További jogorvoslati lehetőségek:</w:t>
      </w:r>
    </w:p>
    <w:p w14:paraId="1849FFB0" w14:textId="77777777" w:rsidR="004752F4" w:rsidRPr="00A00D06" w:rsidRDefault="004752F4" w:rsidP="004752F4">
      <w:pPr>
        <w:jc w:val="both"/>
        <w:rPr>
          <w:sz w:val="20"/>
        </w:rPr>
      </w:pPr>
      <w:r w:rsidRPr="00A00D06">
        <w:rPr>
          <w:sz w:val="20"/>
          <w:u w:val="single"/>
        </w:rPr>
        <w:t>A Nemzeti Adatvédelmi és Információszabadság Hatóság (NAIH)</w:t>
      </w:r>
    </w:p>
    <w:p w14:paraId="69E2BF54" w14:textId="7738FD0A" w:rsidR="004752F4" w:rsidRPr="00A00D06" w:rsidRDefault="004752F4" w:rsidP="004752F4">
      <w:pPr>
        <w:ind w:left="284"/>
        <w:jc w:val="both"/>
        <w:rPr>
          <w:sz w:val="20"/>
        </w:rPr>
      </w:pPr>
      <w:r w:rsidRPr="00A00D06">
        <w:rPr>
          <w:sz w:val="20"/>
        </w:rPr>
        <w:t>13</w:t>
      </w:r>
      <w:r w:rsidR="002234EA">
        <w:rPr>
          <w:sz w:val="20"/>
        </w:rPr>
        <w:t>63</w:t>
      </w:r>
      <w:r w:rsidRPr="00A00D06">
        <w:rPr>
          <w:sz w:val="20"/>
        </w:rPr>
        <w:t xml:space="preserve"> Budapest, Pf. </w:t>
      </w:r>
      <w:r w:rsidR="002234EA">
        <w:rPr>
          <w:sz w:val="20"/>
        </w:rPr>
        <w:t>9</w:t>
      </w:r>
      <w:r w:rsidRPr="00A00D06">
        <w:rPr>
          <w:sz w:val="20"/>
        </w:rPr>
        <w:t>.</w:t>
      </w:r>
    </w:p>
    <w:p w14:paraId="3AD2E2CA" w14:textId="77777777" w:rsidR="004752F4" w:rsidRPr="00A00D06" w:rsidRDefault="004752F4" w:rsidP="004752F4">
      <w:pPr>
        <w:ind w:left="284"/>
        <w:jc w:val="both"/>
        <w:rPr>
          <w:sz w:val="20"/>
        </w:rPr>
      </w:pPr>
      <w:r w:rsidRPr="00A00D06">
        <w:rPr>
          <w:sz w:val="20"/>
        </w:rPr>
        <w:t xml:space="preserve">Honlap: </w:t>
      </w:r>
      <w:hyperlink r:id="rId9" w:history="1">
        <w:r w:rsidRPr="00A00D06">
          <w:rPr>
            <w:rStyle w:val="Hiperhivatkozs"/>
            <w:sz w:val="20"/>
          </w:rPr>
          <w:t>www.naih.hu</w:t>
        </w:r>
      </w:hyperlink>
    </w:p>
    <w:p w14:paraId="47534117" w14:textId="77777777" w:rsidR="004752F4" w:rsidRPr="00A00D06" w:rsidRDefault="004752F4" w:rsidP="004752F4">
      <w:pPr>
        <w:ind w:left="284"/>
        <w:jc w:val="both"/>
        <w:rPr>
          <w:sz w:val="20"/>
        </w:rPr>
      </w:pPr>
      <w:r w:rsidRPr="00A00D06">
        <w:rPr>
          <w:sz w:val="20"/>
        </w:rPr>
        <w:t>Tel.: +36-1-391-1400</w:t>
      </w:r>
    </w:p>
    <w:p w14:paraId="5FF4E3CC" w14:textId="77777777" w:rsidR="004752F4" w:rsidRPr="00A00D06" w:rsidRDefault="004752F4" w:rsidP="004752F4">
      <w:pPr>
        <w:pStyle w:val="NormlWeb"/>
        <w:spacing w:before="0" w:beforeAutospacing="0" w:after="0" w:afterAutospacing="0"/>
        <w:jc w:val="both"/>
        <w:rPr>
          <w:color w:val="000000"/>
          <w:sz w:val="20"/>
          <w:szCs w:val="20"/>
        </w:rPr>
      </w:pPr>
      <w:r w:rsidRPr="00A00D06">
        <w:rPr>
          <w:sz w:val="20"/>
          <w:szCs w:val="20"/>
          <w:u w:val="single"/>
        </w:rPr>
        <w:t xml:space="preserve">Bíróság </w:t>
      </w:r>
    </w:p>
    <w:p w14:paraId="50D3FE26" w14:textId="77777777" w:rsidR="004752F4" w:rsidRPr="00A00D06" w:rsidRDefault="004752F4" w:rsidP="004752F4">
      <w:pPr>
        <w:ind w:left="284"/>
        <w:jc w:val="both"/>
        <w:rPr>
          <w:sz w:val="20"/>
        </w:rPr>
      </w:pPr>
      <w:r w:rsidRPr="00A00D06">
        <w:rPr>
          <w:sz w:val="20"/>
        </w:rPr>
        <w:t xml:space="preserve">Magyarországon a pert - az érintett választása szerint - az érintett lakóhelye vagy tartózkodási helye szerinti törvényszék előtt is megindíthatja. </w:t>
      </w:r>
    </w:p>
    <w:p w14:paraId="6FC9C700" w14:textId="77777777" w:rsidR="004752F4" w:rsidRPr="00A00D06" w:rsidRDefault="004752F4" w:rsidP="004752F4">
      <w:pPr>
        <w:ind w:left="567"/>
        <w:jc w:val="both"/>
        <w:rPr>
          <w:sz w:val="20"/>
        </w:rPr>
      </w:pPr>
    </w:p>
    <w:p w14:paraId="13C5D1F5" w14:textId="77777777" w:rsidR="00DB4E3E" w:rsidRDefault="00DB4E3E" w:rsidP="00DB4E3E">
      <w:pPr>
        <w:pStyle w:val="NormlWeb"/>
        <w:spacing w:before="0" w:beforeAutospacing="0" w:after="0" w:afterAutospacing="0"/>
        <w:jc w:val="center"/>
        <w:rPr>
          <w:b/>
          <w:bCs/>
          <w:color w:val="000000"/>
          <w:sz w:val="20"/>
          <w:szCs w:val="20"/>
        </w:rPr>
      </w:pPr>
      <w:r>
        <w:rPr>
          <w:b/>
          <w:bCs/>
          <w:color w:val="000000"/>
          <w:sz w:val="20"/>
          <w:szCs w:val="20"/>
        </w:rPr>
        <w:t>MELLÉKLET</w:t>
      </w:r>
    </w:p>
    <w:p w14:paraId="27144DE4" w14:textId="77777777" w:rsidR="00DB4E3E" w:rsidRDefault="00DB4E3E" w:rsidP="00DB4E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50FCEBE9" w14:textId="77777777" w:rsidR="00DB4E3E" w:rsidRDefault="00DB4E3E" w:rsidP="00DB4E3E">
      <w:pPr>
        <w:jc w:val="both"/>
        <w:rPr>
          <w:b/>
          <w:bCs/>
          <w:sz w:val="20"/>
        </w:rPr>
      </w:pPr>
    </w:p>
    <w:p w14:paraId="11F31972" w14:textId="77777777" w:rsidR="00DB4E3E" w:rsidRDefault="00DB4E3E" w:rsidP="00DB4E3E">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7"/>
      </w:r>
      <w:r>
        <w:rPr>
          <w:rFonts w:ascii="Times New Roman" w:hAnsi="Times New Roman" w:cs="Times New Roman"/>
          <w:sz w:val="20"/>
          <w:szCs w:val="20"/>
        </w:rPr>
        <w:t xml:space="preserve">. </w:t>
      </w:r>
    </w:p>
    <w:p w14:paraId="3623EF0D" w14:textId="77777777" w:rsidR="00DB4E3E" w:rsidRDefault="00DB4E3E" w:rsidP="00DB4E3E">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B9687E3" w14:textId="77777777" w:rsidR="00DB4E3E" w:rsidRDefault="00DB4E3E" w:rsidP="00DB4E3E">
      <w:pPr>
        <w:pStyle w:val="NormlWeb"/>
        <w:spacing w:after="0"/>
        <w:rPr>
          <w:b/>
          <w:color w:val="000000"/>
          <w:sz w:val="20"/>
          <w:szCs w:val="20"/>
        </w:rPr>
      </w:pPr>
      <w:r>
        <w:rPr>
          <w:b/>
          <w:color w:val="000000"/>
          <w:sz w:val="20"/>
          <w:szCs w:val="20"/>
        </w:rPr>
        <w:t>Az alábbiakban az érintettet illető egyes jogok kifejtése olvasható.</w:t>
      </w:r>
    </w:p>
    <w:p w14:paraId="78E7D1D9"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06A6F7C" w14:textId="614FE7CA"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w:t>
      </w:r>
      <w:r w:rsidR="00C77E84">
        <w:rPr>
          <w:rFonts w:ascii="Times New Roman" w:hAnsi="Times New Roman" w:cs="Times New Roman"/>
          <w:sz w:val="20"/>
          <w:szCs w:val="20"/>
        </w:rPr>
        <w:t xml:space="preserve"> stb</w:t>
      </w:r>
      <w:r>
        <w:rPr>
          <w:rFonts w:ascii="Times New Roman" w:hAnsi="Times New Roman" w:cs="Times New Roman"/>
          <w:sz w:val="20"/>
          <w:szCs w:val="20"/>
        </w:rPr>
        <w:t xml:space="preserve">. </w:t>
      </w:r>
    </w:p>
    <w:p w14:paraId="3E43D96A"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4BF88A9A" w14:textId="77777777" w:rsidR="00DB4E3E" w:rsidRDefault="00DB4E3E" w:rsidP="00DB4E3E">
      <w:pPr>
        <w:autoSpaceDE w:val="0"/>
        <w:autoSpaceDN w:val="0"/>
        <w:adjustRightInd w:val="0"/>
        <w:rPr>
          <w:color w:val="000000"/>
          <w:sz w:val="20"/>
        </w:rPr>
      </w:pPr>
    </w:p>
    <w:p w14:paraId="18EA20A5"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68F32697" w14:textId="77777777" w:rsidR="00DB4E3E" w:rsidRPr="005541AF" w:rsidRDefault="00DB4E3E" w:rsidP="00DB4E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531C6817"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DB4E3E" w14:paraId="3722FC09" w14:textId="77777777" w:rsidTr="00EC4207">
        <w:trPr>
          <w:tblCellSpacing w:w="0" w:type="dxa"/>
        </w:trPr>
        <w:tc>
          <w:tcPr>
            <w:tcW w:w="370" w:type="dxa"/>
          </w:tcPr>
          <w:p w14:paraId="03D21027" w14:textId="77777777" w:rsidR="00DB4E3E" w:rsidRDefault="00DB4E3E" w:rsidP="00EC4207">
            <w:pPr>
              <w:jc w:val="both"/>
              <w:rPr>
                <w:color w:val="000000"/>
                <w:sz w:val="20"/>
                <w:lang w:eastAsia="en-US"/>
              </w:rPr>
            </w:pPr>
            <w:r>
              <w:rPr>
                <w:color w:val="000000"/>
                <w:sz w:val="20"/>
                <w:lang w:eastAsia="en-US"/>
              </w:rPr>
              <w:t>a)</w:t>
            </w:r>
          </w:p>
        </w:tc>
        <w:tc>
          <w:tcPr>
            <w:tcW w:w="8872" w:type="dxa"/>
          </w:tcPr>
          <w:p w14:paraId="2CC25AD2" w14:textId="77777777" w:rsidR="00DB4E3E" w:rsidRDefault="00DB4E3E" w:rsidP="00EC4207">
            <w:pPr>
              <w:jc w:val="both"/>
              <w:rPr>
                <w:color w:val="000000"/>
                <w:sz w:val="20"/>
                <w:lang w:eastAsia="en-US"/>
              </w:rPr>
            </w:pPr>
            <w:r>
              <w:rPr>
                <w:color w:val="000000"/>
                <w:sz w:val="20"/>
                <w:lang w:eastAsia="en-US"/>
              </w:rPr>
              <w:t>az adatkezelés céljai;</w:t>
            </w:r>
          </w:p>
        </w:tc>
      </w:tr>
      <w:tr w:rsidR="00DB4E3E" w14:paraId="54174258" w14:textId="77777777" w:rsidTr="00EC4207">
        <w:trPr>
          <w:tblCellSpacing w:w="0" w:type="dxa"/>
        </w:trPr>
        <w:tc>
          <w:tcPr>
            <w:tcW w:w="370" w:type="dxa"/>
          </w:tcPr>
          <w:p w14:paraId="542BC5A0" w14:textId="77777777" w:rsidR="00DB4E3E" w:rsidRDefault="00DB4E3E" w:rsidP="00EC4207">
            <w:pPr>
              <w:jc w:val="both"/>
              <w:rPr>
                <w:color w:val="000000"/>
                <w:sz w:val="20"/>
                <w:lang w:eastAsia="en-US"/>
              </w:rPr>
            </w:pPr>
            <w:r>
              <w:rPr>
                <w:color w:val="000000"/>
                <w:sz w:val="20"/>
                <w:lang w:eastAsia="en-US"/>
              </w:rPr>
              <w:t>b)</w:t>
            </w:r>
          </w:p>
        </w:tc>
        <w:tc>
          <w:tcPr>
            <w:tcW w:w="8872" w:type="dxa"/>
          </w:tcPr>
          <w:p w14:paraId="2E497B98" w14:textId="77777777" w:rsidR="00DB4E3E" w:rsidRDefault="00DB4E3E" w:rsidP="00EC4207">
            <w:pPr>
              <w:jc w:val="both"/>
              <w:rPr>
                <w:color w:val="000000"/>
                <w:sz w:val="20"/>
                <w:lang w:eastAsia="en-US"/>
              </w:rPr>
            </w:pPr>
            <w:r>
              <w:rPr>
                <w:color w:val="000000"/>
                <w:sz w:val="20"/>
                <w:lang w:eastAsia="en-US"/>
              </w:rPr>
              <w:t>az érintett személyes adatok kategóriái;</w:t>
            </w:r>
          </w:p>
        </w:tc>
      </w:tr>
      <w:tr w:rsidR="00DB4E3E" w14:paraId="05FD2ECA" w14:textId="77777777" w:rsidTr="00EC4207">
        <w:trPr>
          <w:tblCellSpacing w:w="0" w:type="dxa"/>
        </w:trPr>
        <w:tc>
          <w:tcPr>
            <w:tcW w:w="370" w:type="dxa"/>
          </w:tcPr>
          <w:p w14:paraId="1B5918CA" w14:textId="77777777" w:rsidR="00DB4E3E" w:rsidRDefault="00DB4E3E" w:rsidP="00EC4207">
            <w:pPr>
              <w:jc w:val="both"/>
              <w:rPr>
                <w:color w:val="000000"/>
                <w:sz w:val="20"/>
                <w:lang w:eastAsia="en-US"/>
              </w:rPr>
            </w:pPr>
            <w:r>
              <w:rPr>
                <w:color w:val="000000"/>
                <w:sz w:val="20"/>
                <w:lang w:eastAsia="en-US"/>
              </w:rPr>
              <w:t>c)</w:t>
            </w:r>
          </w:p>
        </w:tc>
        <w:tc>
          <w:tcPr>
            <w:tcW w:w="8872" w:type="dxa"/>
          </w:tcPr>
          <w:p w14:paraId="4418C9A9" w14:textId="77777777" w:rsidR="00DB4E3E" w:rsidRDefault="00DB4E3E" w:rsidP="00EC4207">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DB4E3E" w14:paraId="631BAD71" w14:textId="77777777" w:rsidTr="00EC4207">
        <w:trPr>
          <w:tblCellSpacing w:w="0" w:type="dxa"/>
        </w:trPr>
        <w:tc>
          <w:tcPr>
            <w:tcW w:w="370" w:type="dxa"/>
          </w:tcPr>
          <w:p w14:paraId="5CF8BF6B" w14:textId="77777777" w:rsidR="00DB4E3E" w:rsidRDefault="00DB4E3E" w:rsidP="00EC4207">
            <w:pPr>
              <w:jc w:val="both"/>
              <w:rPr>
                <w:color w:val="000000"/>
                <w:sz w:val="20"/>
                <w:lang w:eastAsia="en-US"/>
              </w:rPr>
            </w:pPr>
            <w:r>
              <w:rPr>
                <w:color w:val="000000"/>
                <w:sz w:val="20"/>
                <w:lang w:eastAsia="en-US"/>
              </w:rPr>
              <w:t>d)</w:t>
            </w:r>
          </w:p>
        </w:tc>
        <w:tc>
          <w:tcPr>
            <w:tcW w:w="8872" w:type="dxa"/>
          </w:tcPr>
          <w:p w14:paraId="4DD44303" w14:textId="77777777" w:rsidR="00DB4E3E" w:rsidRDefault="00DB4E3E" w:rsidP="00EC4207">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DB4E3E" w14:paraId="45CF2900" w14:textId="77777777" w:rsidTr="00EC4207">
        <w:trPr>
          <w:tblCellSpacing w:w="0" w:type="dxa"/>
        </w:trPr>
        <w:tc>
          <w:tcPr>
            <w:tcW w:w="370" w:type="dxa"/>
          </w:tcPr>
          <w:p w14:paraId="37D9C2B6" w14:textId="77777777" w:rsidR="00DB4E3E" w:rsidRDefault="00DB4E3E" w:rsidP="00EC4207">
            <w:pPr>
              <w:jc w:val="both"/>
              <w:rPr>
                <w:color w:val="000000"/>
                <w:sz w:val="20"/>
                <w:lang w:eastAsia="en-US"/>
              </w:rPr>
            </w:pPr>
            <w:r>
              <w:rPr>
                <w:color w:val="000000"/>
                <w:sz w:val="20"/>
                <w:lang w:eastAsia="en-US"/>
              </w:rPr>
              <w:t>e)</w:t>
            </w:r>
          </w:p>
        </w:tc>
        <w:tc>
          <w:tcPr>
            <w:tcW w:w="8872" w:type="dxa"/>
          </w:tcPr>
          <w:p w14:paraId="380F80DB" w14:textId="77777777" w:rsidR="00DB4E3E" w:rsidRDefault="00DB4E3E" w:rsidP="00EC4207">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DB4E3E" w14:paraId="30A8BE1B" w14:textId="77777777" w:rsidTr="00EC4207">
        <w:trPr>
          <w:tblCellSpacing w:w="0" w:type="dxa"/>
        </w:trPr>
        <w:tc>
          <w:tcPr>
            <w:tcW w:w="370" w:type="dxa"/>
          </w:tcPr>
          <w:p w14:paraId="3764BDDE" w14:textId="77777777" w:rsidR="00DB4E3E" w:rsidRDefault="00DB4E3E" w:rsidP="00EC4207">
            <w:pPr>
              <w:jc w:val="both"/>
              <w:rPr>
                <w:color w:val="000000"/>
                <w:sz w:val="20"/>
                <w:lang w:eastAsia="en-US"/>
              </w:rPr>
            </w:pPr>
            <w:r>
              <w:rPr>
                <w:color w:val="000000"/>
                <w:sz w:val="20"/>
                <w:lang w:eastAsia="en-US"/>
              </w:rPr>
              <w:t>f)</w:t>
            </w:r>
          </w:p>
        </w:tc>
        <w:tc>
          <w:tcPr>
            <w:tcW w:w="8872" w:type="dxa"/>
          </w:tcPr>
          <w:p w14:paraId="2ED4B176" w14:textId="77777777" w:rsidR="00DB4E3E" w:rsidRDefault="00DB4E3E" w:rsidP="00EC4207">
            <w:pPr>
              <w:jc w:val="both"/>
              <w:rPr>
                <w:color w:val="000000"/>
                <w:sz w:val="20"/>
                <w:lang w:eastAsia="en-US"/>
              </w:rPr>
            </w:pPr>
            <w:r>
              <w:rPr>
                <w:color w:val="000000"/>
                <w:sz w:val="20"/>
                <w:lang w:eastAsia="en-US"/>
              </w:rPr>
              <w:t>a valamely felügyeleti hatósághoz címzett panasz benyújtásának joga;</w:t>
            </w:r>
          </w:p>
        </w:tc>
      </w:tr>
      <w:tr w:rsidR="00DB4E3E" w14:paraId="41B72044" w14:textId="77777777" w:rsidTr="00EC4207">
        <w:trPr>
          <w:tblCellSpacing w:w="0" w:type="dxa"/>
        </w:trPr>
        <w:tc>
          <w:tcPr>
            <w:tcW w:w="370" w:type="dxa"/>
          </w:tcPr>
          <w:p w14:paraId="5491DB2A" w14:textId="77777777" w:rsidR="00DB4E3E" w:rsidRDefault="00DB4E3E" w:rsidP="00EC4207">
            <w:pPr>
              <w:jc w:val="both"/>
              <w:rPr>
                <w:color w:val="000000"/>
                <w:sz w:val="20"/>
                <w:lang w:eastAsia="en-US"/>
              </w:rPr>
            </w:pPr>
            <w:r>
              <w:rPr>
                <w:color w:val="000000"/>
                <w:sz w:val="20"/>
                <w:lang w:eastAsia="en-US"/>
              </w:rPr>
              <w:t>g)</w:t>
            </w:r>
          </w:p>
        </w:tc>
        <w:tc>
          <w:tcPr>
            <w:tcW w:w="8872" w:type="dxa"/>
          </w:tcPr>
          <w:p w14:paraId="7A91AD6D" w14:textId="77777777" w:rsidR="00DB4E3E" w:rsidRDefault="00DB4E3E" w:rsidP="00EC4207">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DB4E3E" w14:paraId="58B9F028" w14:textId="77777777" w:rsidTr="00EC4207">
        <w:trPr>
          <w:tblCellSpacing w:w="0" w:type="dxa"/>
        </w:trPr>
        <w:tc>
          <w:tcPr>
            <w:tcW w:w="370" w:type="dxa"/>
          </w:tcPr>
          <w:p w14:paraId="295D994F" w14:textId="77777777" w:rsidR="00DB4E3E" w:rsidRDefault="00DB4E3E" w:rsidP="00EC4207">
            <w:pPr>
              <w:jc w:val="both"/>
              <w:rPr>
                <w:color w:val="000000"/>
                <w:sz w:val="20"/>
                <w:lang w:eastAsia="en-US"/>
              </w:rPr>
            </w:pPr>
            <w:r>
              <w:rPr>
                <w:color w:val="000000"/>
                <w:sz w:val="20"/>
                <w:lang w:eastAsia="en-US"/>
              </w:rPr>
              <w:t>h)</w:t>
            </w:r>
          </w:p>
        </w:tc>
        <w:tc>
          <w:tcPr>
            <w:tcW w:w="8872" w:type="dxa"/>
          </w:tcPr>
          <w:p w14:paraId="06CF45EB" w14:textId="77777777" w:rsidR="00DB4E3E" w:rsidRDefault="00DB4E3E" w:rsidP="00EC4207">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703F19AD" w14:textId="77777777" w:rsidR="00DB4E3E" w:rsidRDefault="00DB4E3E" w:rsidP="00DB4E3E">
      <w:pPr>
        <w:ind w:left="142"/>
        <w:jc w:val="both"/>
        <w:rPr>
          <w:sz w:val="20"/>
        </w:rPr>
      </w:pPr>
    </w:p>
    <w:p w14:paraId="3FC8F84F"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1BEACF49"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A1EDC2B" w14:textId="77777777" w:rsidR="00DB4E3E" w:rsidRDefault="00DB4E3E" w:rsidP="00DB4E3E">
      <w:pPr>
        <w:pStyle w:val="Default"/>
        <w:ind w:left="284"/>
        <w:jc w:val="both"/>
        <w:rPr>
          <w:rFonts w:ascii="Times New Roman" w:hAnsi="Times New Roman" w:cs="Times New Roman"/>
          <w:sz w:val="20"/>
          <w:szCs w:val="20"/>
        </w:rPr>
      </w:pPr>
    </w:p>
    <w:p w14:paraId="2CF11D63"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3901288C"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7C7D4491"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6CBC7A57"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15AE4BA0"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5A9801E1"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148CFCE4"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7FCE7CBC"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2F942432" w14:textId="77777777" w:rsidR="00DB4E3E" w:rsidRDefault="00DB4E3E" w:rsidP="00DB4E3E">
      <w:pPr>
        <w:pStyle w:val="Default"/>
        <w:ind w:left="567"/>
        <w:jc w:val="both"/>
        <w:rPr>
          <w:rFonts w:ascii="Times New Roman" w:hAnsi="Times New Roman" w:cs="Times New Roman"/>
          <w:sz w:val="20"/>
          <w:szCs w:val="20"/>
        </w:rPr>
      </w:pPr>
    </w:p>
    <w:p w14:paraId="613D5B38"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09E15102"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23ED6F27"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66CDF233"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jogellenes, és az érintett ellenzi az adatok törlését;</w:t>
      </w:r>
    </w:p>
    <w:p w14:paraId="05D16FDD"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4EBD22E3"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48F041BF" w14:textId="77777777" w:rsidR="00DB4E3E" w:rsidRPr="004C10B6" w:rsidRDefault="00DB4E3E" w:rsidP="00DB4E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441709B6" w14:textId="77777777" w:rsidR="00DB4E3E" w:rsidRDefault="00DB4E3E" w:rsidP="00DB4E3E">
      <w:pPr>
        <w:rPr>
          <w:color w:val="000000"/>
          <w:sz w:val="20"/>
        </w:rPr>
      </w:pPr>
    </w:p>
    <w:p w14:paraId="42DC7657" w14:textId="77777777" w:rsidR="00DB4E3E" w:rsidRDefault="00DB4E3E" w:rsidP="00DB4E3E">
      <w:pPr>
        <w:pStyle w:val="Default"/>
        <w:numPr>
          <w:ilvl w:val="0"/>
          <w:numId w:val="1"/>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1EB4BEAD"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703A8E0" w14:textId="77777777" w:rsidR="00DB4E3E" w:rsidRDefault="00DB4E3E" w:rsidP="00DB4E3E">
      <w:pPr>
        <w:autoSpaceDE w:val="0"/>
        <w:autoSpaceDN w:val="0"/>
        <w:adjustRightInd w:val="0"/>
        <w:rPr>
          <w:rFonts w:eastAsia="Calibri"/>
          <w:sz w:val="20"/>
          <w:u w:val="single"/>
          <w:lang w:eastAsia="en-US"/>
        </w:rPr>
      </w:pPr>
    </w:p>
    <w:p w14:paraId="02724B6E"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75C47B52"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DBBFA1F"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7F772F14"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1A561ED5" w14:textId="77777777" w:rsidR="00DB4E3E" w:rsidRDefault="00DB4E3E" w:rsidP="00DB4E3E">
      <w:pPr>
        <w:pStyle w:val="Default"/>
        <w:ind w:left="360"/>
        <w:jc w:val="both"/>
        <w:rPr>
          <w:rFonts w:ascii="Times New Roman" w:hAnsi="Times New Roman" w:cs="Times New Roman"/>
          <w:sz w:val="20"/>
          <w:szCs w:val="20"/>
          <w:u w:val="single"/>
        </w:rPr>
      </w:pPr>
    </w:p>
    <w:p w14:paraId="74E9A1ED"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41F5E50D"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8"/>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1161098E" w14:textId="77777777" w:rsidR="00DB4E3E" w:rsidRDefault="00DB4E3E" w:rsidP="00DB4E3E">
      <w:pPr>
        <w:ind w:left="142"/>
        <w:jc w:val="both"/>
        <w:rPr>
          <w:sz w:val="20"/>
        </w:rPr>
      </w:pPr>
    </w:p>
    <w:p w14:paraId="52B83A4B"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00A12172"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08CCFDB"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DB4E3E" w14:paraId="16D0B050" w14:textId="77777777" w:rsidTr="00EC4207">
        <w:trPr>
          <w:tblCellSpacing w:w="0" w:type="dxa"/>
        </w:trPr>
        <w:tc>
          <w:tcPr>
            <w:tcW w:w="369" w:type="dxa"/>
          </w:tcPr>
          <w:p w14:paraId="750EDC4C" w14:textId="77777777" w:rsidR="00DB4E3E" w:rsidRDefault="00DB4E3E" w:rsidP="00EC4207">
            <w:pPr>
              <w:jc w:val="both"/>
              <w:rPr>
                <w:color w:val="000000"/>
                <w:sz w:val="20"/>
                <w:lang w:eastAsia="en-US"/>
              </w:rPr>
            </w:pPr>
            <w:r>
              <w:rPr>
                <w:color w:val="000000"/>
                <w:sz w:val="20"/>
                <w:lang w:eastAsia="en-US"/>
              </w:rPr>
              <w:t>a)</w:t>
            </w:r>
          </w:p>
        </w:tc>
        <w:tc>
          <w:tcPr>
            <w:tcW w:w="8872" w:type="dxa"/>
          </w:tcPr>
          <w:p w14:paraId="56264FD0" w14:textId="77777777" w:rsidR="00DB4E3E" w:rsidRDefault="00DB4E3E" w:rsidP="00EC4207">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DB4E3E" w14:paraId="450477B7" w14:textId="77777777" w:rsidTr="00EC4207">
        <w:trPr>
          <w:tblCellSpacing w:w="0" w:type="dxa"/>
        </w:trPr>
        <w:tc>
          <w:tcPr>
            <w:tcW w:w="369" w:type="dxa"/>
          </w:tcPr>
          <w:p w14:paraId="5F08A70E" w14:textId="77777777" w:rsidR="00DB4E3E" w:rsidRDefault="00DB4E3E" w:rsidP="00EC4207">
            <w:pPr>
              <w:jc w:val="both"/>
              <w:rPr>
                <w:color w:val="000000"/>
                <w:sz w:val="20"/>
                <w:lang w:eastAsia="en-US"/>
              </w:rPr>
            </w:pPr>
            <w:r>
              <w:rPr>
                <w:color w:val="000000"/>
                <w:sz w:val="20"/>
                <w:lang w:eastAsia="en-US"/>
              </w:rPr>
              <w:t>b)</w:t>
            </w:r>
          </w:p>
        </w:tc>
        <w:tc>
          <w:tcPr>
            <w:tcW w:w="8872" w:type="dxa"/>
          </w:tcPr>
          <w:p w14:paraId="69FDB48D" w14:textId="77777777" w:rsidR="00DB4E3E" w:rsidRDefault="00DB4E3E" w:rsidP="00EC4207">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DB4E3E" w14:paraId="70CAA99F" w14:textId="77777777" w:rsidTr="00EC4207">
        <w:trPr>
          <w:tblCellSpacing w:w="0" w:type="dxa"/>
        </w:trPr>
        <w:tc>
          <w:tcPr>
            <w:tcW w:w="369" w:type="dxa"/>
          </w:tcPr>
          <w:p w14:paraId="57716FEF" w14:textId="77777777" w:rsidR="00DB4E3E" w:rsidRDefault="00DB4E3E" w:rsidP="00EC4207">
            <w:pPr>
              <w:jc w:val="both"/>
              <w:rPr>
                <w:color w:val="000000"/>
                <w:sz w:val="20"/>
                <w:lang w:eastAsia="en-US"/>
              </w:rPr>
            </w:pPr>
            <w:r>
              <w:rPr>
                <w:color w:val="000000"/>
                <w:sz w:val="20"/>
                <w:lang w:eastAsia="en-US"/>
              </w:rPr>
              <w:t>c)</w:t>
            </w:r>
          </w:p>
        </w:tc>
        <w:tc>
          <w:tcPr>
            <w:tcW w:w="8872" w:type="dxa"/>
          </w:tcPr>
          <w:p w14:paraId="35E01677" w14:textId="77777777" w:rsidR="00DB4E3E" w:rsidRDefault="00DB4E3E" w:rsidP="00EC4207">
            <w:pPr>
              <w:jc w:val="both"/>
              <w:rPr>
                <w:color w:val="000000"/>
                <w:sz w:val="20"/>
                <w:lang w:eastAsia="en-US"/>
              </w:rPr>
            </w:pPr>
            <w:r>
              <w:rPr>
                <w:color w:val="000000"/>
                <w:sz w:val="20"/>
                <w:lang w:eastAsia="en-US"/>
              </w:rPr>
              <w:t>az érintett kifejezett hozzájárulásán alapul.</w:t>
            </w:r>
          </w:p>
        </w:tc>
      </w:tr>
    </w:tbl>
    <w:p w14:paraId="29DA2329"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3083B30A" w14:textId="77777777" w:rsidR="00DB4E3E" w:rsidRDefault="00DB4E3E" w:rsidP="00DB4E3E">
      <w:pPr>
        <w:pStyle w:val="NormlWeb"/>
        <w:spacing w:before="0" w:beforeAutospacing="0" w:after="0" w:afterAutospacing="0"/>
        <w:jc w:val="both"/>
        <w:rPr>
          <w:sz w:val="20"/>
          <w:szCs w:val="20"/>
        </w:rPr>
      </w:pPr>
    </w:p>
    <w:p w14:paraId="477843A0"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6BC7256B" w14:textId="77777777" w:rsidR="00DB4E3E" w:rsidRDefault="00DB4E3E" w:rsidP="00DB4E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51F360F9" w14:textId="77777777" w:rsidR="00DB4E3E" w:rsidRDefault="00DB4E3E" w:rsidP="00DB4E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00DC07E7"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1427DB6C"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w:t>
      </w:r>
      <w:r>
        <w:rPr>
          <w:rFonts w:ascii="Times New Roman" w:hAnsi="Times New Roman" w:cs="Times New Roman"/>
          <w:sz w:val="20"/>
          <w:szCs w:val="20"/>
        </w:rPr>
        <w:lastRenderedPageBreak/>
        <w:t xml:space="preserve">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5819820B" w14:textId="77777777" w:rsidR="00DB4E3E" w:rsidRPr="00A00D06" w:rsidRDefault="00DB4E3E" w:rsidP="00DB4E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9"/>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659ED418" w14:textId="77777777" w:rsidR="00DB4E3E" w:rsidRPr="00A00D06" w:rsidRDefault="00DB4E3E" w:rsidP="00DB4E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193B9B0D" w14:textId="77777777" w:rsidR="00DB4E3E" w:rsidRPr="00A00D06" w:rsidRDefault="00DB4E3E" w:rsidP="00DB4E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1EB7FEA4" w14:textId="77777777" w:rsidR="00DB4E3E" w:rsidRPr="00A00D06" w:rsidRDefault="00DB4E3E" w:rsidP="00DB4E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13B0A6E8" w14:textId="77777777" w:rsidR="00DB4E3E" w:rsidRPr="00A00D06" w:rsidRDefault="00DB4E3E" w:rsidP="00DB4E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7AFFD723" w14:textId="77777777" w:rsidR="00DB4E3E" w:rsidRDefault="00DB4E3E" w:rsidP="00DB4E3E">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43ED5725" w14:textId="77777777" w:rsidR="00DB4E3E" w:rsidRDefault="00DB4E3E" w:rsidP="00DB4E3E">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
    <w:p w14:paraId="033502FB" w14:textId="77777777" w:rsidR="00DB4E3E" w:rsidRDefault="00DB4E3E" w:rsidP="00DB4E3E">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23C0172D" w14:textId="77777777" w:rsidR="00DB4E3E" w:rsidRDefault="00DB4E3E" w:rsidP="00DB4E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1B45D179" w14:textId="77777777" w:rsidR="00DB4E3E" w:rsidRPr="00217F4F" w:rsidRDefault="00DB4E3E" w:rsidP="00DB4E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6081DB4F" w14:textId="77777777" w:rsidR="00DB4E3E" w:rsidRPr="00217F4F" w:rsidRDefault="00DB4E3E" w:rsidP="00DB4E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70C7430F" w14:textId="77777777" w:rsidR="00DB4E3E" w:rsidRPr="00217F4F" w:rsidRDefault="00DB4E3E" w:rsidP="00DB4E3E">
      <w:pPr>
        <w:pStyle w:val="Default"/>
        <w:numPr>
          <w:ilvl w:val="0"/>
          <w:numId w:val="6"/>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27647CBA" w14:textId="77777777" w:rsidR="00DB4E3E" w:rsidRDefault="00DB4E3E" w:rsidP="00DB4E3E">
      <w:pPr>
        <w:rPr>
          <w:sz w:val="20"/>
        </w:rPr>
      </w:pPr>
    </w:p>
    <w:p w14:paraId="5511C329" w14:textId="77777777" w:rsidR="00DB4E3E" w:rsidRDefault="00DB4E3E" w:rsidP="00DB4E3E"/>
    <w:p w14:paraId="2578E2B3" w14:textId="77777777" w:rsidR="00DB4E3E" w:rsidRDefault="00DB4E3E" w:rsidP="00DB4E3E">
      <w:pPr>
        <w:jc w:val="both"/>
      </w:pPr>
    </w:p>
    <w:p w14:paraId="299DA899" w14:textId="77777777" w:rsidR="00DB4E3E" w:rsidRDefault="00DB4E3E" w:rsidP="00DB4E3E"/>
    <w:p w14:paraId="2059B892" w14:textId="77777777" w:rsidR="00DB4E3E" w:rsidRDefault="00DB4E3E" w:rsidP="00DB4E3E">
      <w:pPr>
        <w:jc w:val="both"/>
        <w:rPr>
          <w:sz w:val="22"/>
          <w:szCs w:val="22"/>
        </w:rPr>
      </w:pPr>
    </w:p>
    <w:p w14:paraId="2D0A7B5A" w14:textId="77777777" w:rsidR="00DB4E3E" w:rsidRDefault="00DB4E3E" w:rsidP="00DB4E3E">
      <w:pPr>
        <w:jc w:val="both"/>
        <w:rPr>
          <w:sz w:val="20"/>
        </w:rPr>
      </w:pPr>
    </w:p>
    <w:p w14:paraId="6A1ACCDE" w14:textId="77777777" w:rsidR="003A0153" w:rsidRDefault="003A0153">
      <w:pPr>
        <w:spacing w:after="200" w:line="276" w:lineRule="auto"/>
        <w:rPr>
          <w:b/>
          <w:bCs/>
          <w:color w:val="000000"/>
          <w:sz w:val="20"/>
        </w:rPr>
      </w:pPr>
      <w:r>
        <w:rPr>
          <w:b/>
          <w:bCs/>
          <w:color w:val="000000"/>
          <w:sz w:val="20"/>
        </w:rPr>
        <w:br w:type="page"/>
      </w:r>
    </w:p>
    <w:p w14:paraId="0288F379" w14:textId="18199F90" w:rsidR="00CD5778" w:rsidRDefault="003A0153" w:rsidP="003A0153">
      <w:pPr>
        <w:pStyle w:val="NormlWeb"/>
        <w:spacing w:before="0" w:beforeAutospacing="0" w:after="0" w:afterAutospacing="0"/>
        <w:ind w:left="720"/>
        <w:jc w:val="center"/>
        <w:rPr>
          <w:b/>
          <w:bCs/>
          <w:color w:val="000000"/>
          <w:sz w:val="20"/>
          <w:szCs w:val="20"/>
        </w:rPr>
      </w:pPr>
      <w:r>
        <w:rPr>
          <w:b/>
          <w:bCs/>
          <w:color w:val="000000"/>
          <w:sz w:val="20"/>
          <w:szCs w:val="20"/>
        </w:rPr>
        <w:lastRenderedPageBreak/>
        <w:t xml:space="preserve">2. sz. </w:t>
      </w:r>
      <w:r w:rsidR="00CD5778" w:rsidRPr="001D3E8A">
        <w:rPr>
          <w:b/>
          <w:bCs/>
          <w:color w:val="000000"/>
          <w:sz w:val="20"/>
          <w:szCs w:val="20"/>
        </w:rPr>
        <w:t>MELLÉKLET</w:t>
      </w:r>
    </w:p>
    <w:p w14:paraId="1FA71753" w14:textId="77777777" w:rsidR="003A0153" w:rsidRPr="001D3E8A" w:rsidRDefault="003A0153" w:rsidP="003A0153">
      <w:pPr>
        <w:pStyle w:val="NormlWeb"/>
        <w:spacing w:before="0" w:beforeAutospacing="0" w:after="0" w:afterAutospacing="0"/>
        <w:ind w:left="720"/>
        <w:rPr>
          <w:b/>
          <w:bCs/>
          <w:color w:val="000000"/>
          <w:sz w:val="20"/>
          <w:szCs w:val="20"/>
        </w:rPr>
      </w:pPr>
    </w:p>
    <w:p w14:paraId="612F5135" w14:textId="77777777" w:rsidR="00FD24BC" w:rsidRDefault="00D1585E" w:rsidP="00FD24BC">
      <w:pPr>
        <w:pStyle w:val="NormlWeb"/>
        <w:spacing w:before="0" w:beforeAutospacing="0" w:after="0" w:afterAutospacing="0"/>
        <w:ind w:firstLine="180"/>
        <w:jc w:val="both"/>
        <w:rPr>
          <w:sz w:val="20"/>
          <w:szCs w:val="20"/>
        </w:rPr>
      </w:pPr>
      <w:r>
        <w:rPr>
          <w:sz w:val="20"/>
          <w:szCs w:val="20"/>
        </w:rPr>
        <w:t xml:space="preserve">2011. évi CCIV. törvény (Nftv.) 3. melléklete - </w:t>
      </w:r>
      <w:r w:rsidRPr="00D1585E">
        <w:rPr>
          <w:sz w:val="20"/>
          <w:szCs w:val="20"/>
        </w:rPr>
        <w:t>I/B. A hallgatók adatai</w:t>
      </w:r>
    </w:p>
    <w:p w14:paraId="037EE390" w14:textId="1BB09ACC" w:rsidR="003C28E8" w:rsidRPr="00FD24BC" w:rsidRDefault="00D65DA8" w:rsidP="00FD24BC">
      <w:pPr>
        <w:pStyle w:val="NormlWeb"/>
        <w:spacing w:before="0" w:beforeAutospacing="0" w:after="0" w:afterAutospacing="0"/>
        <w:ind w:firstLine="180"/>
        <w:jc w:val="both"/>
        <w:rPr>
          <w:sz w:val="20"/>
          <w:szCs w:val="20"/>
        </w:rPr>
      </w:pPr>
      <w:r>
        <w:rPr>
          <w:sz w:val="20"/>
        </w:rPr>
        <w:t xml:space="preserve">lásd: </w:t>
      </w:r>
      <w:hyperlink r:id="rId10" w:history="1">
        <w:r w:rsidR="00EE4555" w:rsidRPr="005E41AC">
          <w:rPr>
            <w:rStyle w:val="Hiperhivatkozs"/>
            <w:sz w:val="20"/>
          </w:rPr>
          <w:t>https://adatvedelem.elte.hu/tajekoztatok-sablonok</w:t>
        </w:r>
      </w:hyperlink>
      <w:r w:rsidR="00EE4555">
        <w:rPr>
          <w:sz w:val="20"/>
        </w:rPr>
        <w:t xml:space="preserve"> /</w:t>
      </w:r>
      <w:hyperlink r:id="rId11" w:history="1">
        <w:r w:rsidR="00EE4555" w:rsidRPr="00FD24BC">
          <w:rPr>
            <w:sz w:val="20"/>
          </w:rPr>
          <w:t>Nftv. melléklet: A hallgatók adatai</w:t>
        </w:r>
      </w:hyperlink>
      <w:r w:rsidR="00EE4555" w:rsidRPr="00FD24BC">
        <w:rPr>
          <w:sz w:val="20"/>
        </w:rPr>
        <w:t xml:space="preserve"> </w:t>
      </w:r>
    </w:p>
    <w:sectPr w:rsidR="003C28E8" w:rsidRPr="00FD24BC">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FF973" w16cex:dateUtc="2025-03-03T08:48:00Z"/>
  <w16cex:commentExtensible w16cex:durableId="2B6FFA49" w16cex:dateUtc="2025-03-03T08: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ABBD" w14:textId="77777777" w:rsidR="0038397D" w:rsidRDefault="0038397D" w:rsidP="0038397D">
      <w:r>
        <w:separator/>
      </w:r>
    </w:p>
  </w:endnote>
  <w:endnote w:type="continuationSeparator" w:id="0">
    <w:p w14:paraId="241DF051" w14:textId="77777777" w:rsidR="0038397D" w:rsidRDefault="0038397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762734"/>
      <w:docPartObj>
        <w:docPartGallery w:val="Page Numbers (Bottom of Page)"/>
        <w:docPartUnique/>
      </w:docPartObj>
    </w:sdtPr>
    <w:sdtEndPr>
      <w:rPr>
        <w:sz w:val="20"/>
      </w:rPr>
    </w:sdtEndPr>
    <w:sdtContent>
      <w:p w14:paraId="1A092AF5" w14:textId="14916BED" w:rsidR="004752F4" w:rsidRPr="00DB4E3E" w:rsidRDefault="004752F4">
        <w:pPr>
          <w:pStyle w:val="llb"/>
          <w:jc w:val="center"/>
          <w:rPr>
            <w:sz w:val="20"/>
          </w:rPr>
        </w:pPr>
        <w:r w:rsidRPr="00DB4E3E">
          <w:rPr>
            <w:sz w:val="20"/>
          </w:rPr>
          <w:fldChar w:fldCharType="begin"/>
        </w:r>
        <w:r w:rsidRPr="00DB4E3E">
          <w:rPr>
            <w:sz w:val="20"/>
          </w:rPr>
          <w:instrText>PAGE   \* MERGEFORMAT</w:instrText>
        </w:r>
        <w:r w:rsidRPr="00DB4E3E">
          <w:rPr>
            <w:sz w:val="20"/>
          </w:rPr>
          <w:fldChar w:fldCharType="separate"/>
        </w:r>
        <w:r w:rsidR="000E7C2D" w:rsidRPr="00DB4E3E">
          <w:rPr>
            <w:noProof/>
            <w:sz w:val="20"/>
          </w:rPr>
          <w:t>7</w:t>
        </w:r>
        <w:r w:rsidRPr="00DB4E3E">
          <w:rPr>
            <w:sz w:val="20"/>
          </w:rPr>
          <w:fldChar w:fldCharType="end"/>
        </w:r>
      </w:p>
    </w:sdtContent>
  </w:sdt>
  <w:p w14:paraId="463F00F5" w14:textId="77777777" w:rsidR="004752F4" w:rsidRDefault="004752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8B3D5" w14:textId="77777777" w:rsidR="0038397D" w:rsidRDefault="0038397D" w:rsidP="0038397D">
      <w:r>
        <w:separator/>
      </w:r>
    </w:p>
  </w:footnote>
  <w:footnote w:type="continuationSeparator" w:id="0">
    <w:p w14:paraId="4FDD7013" w14:textId="77777777" w:rsidR="0038397D" w:rsidRDefault="0038397D" w:rsidP="0038397D">
      <w:r>
        <w:continuationSeparator/>
      </w:r>
    </w:p>
  </w:footnote>
  <w:footnote w:id="1">
    <w:p w14:paraId="1B2E046B" w14:textId="35D19FC6" w:rsidR="006C63CA" w:rsidRDefault="006C63CA" w:rsidP="00D70552">
      <w:pPr>
        <w:pStyle w:val="Lbjegyzetszveg"/>
        <w:jc w:val="both"/>
      </w:pPr>
      <w:r w:rsidRPr="00345482">
        <w:rPr>
          <w:rStyle w:val="Lbjegyzet-hivatkozs"/>
          <w:sz w:val="18"/>
          <w:szCs w:val="18"/>
        </w:rPr>
        <w:footnoteRef/>
      </w:r>
      <w:r w:rsidRPr="00345482">
        <w:rPr>
          <w:rStyle w:val="Lbjegyzet-hivatkozs"/>
          <w:sz w:val="18"/>
          <w:szCs w:val="18"/>
        </w:rPr>
        <w:t xml:space="preserve"> </w:t>
      </w:r>
      <w:r w:rsidRPr="00345482">
        <w:rPr>
          <w:sz w:val="18"/>
          <w:szCs w:val="18"/>
        </w:rPr>
        <w:t xml:space="preserve">Beleértve </w:t>
      </w:r>
      <w:r w:rsidR="006C4F97" w:rsidRPr="00345482">
        <w:rPr>
          <w:sz w:val="18"/>
          <w:szCs w:val="18"/>
        </w:rPr>
        <w:t xml:space="preserve">az </w:t>
      </w:r>
      <w:proofErr w:type="spellStart"/>
      <w:r w:rsidRPr="00345482">
        <w:rPr>
          <w:sz w:val="18"/>
          <w:szCs w:val="18"/>
        </w:rPr>
        <w:t>Nftv</w:t>
      </w:r>
      <w:proofErr w:type="spellEnd"/>
      <w:r w:rsidRPr="00345482">
        <w:rPr>
          <w:sz w:val="18"/>
          <w:szCs w:val="18"/>
        </w:rPr>
        <w:t>. 49. § (11)</w:t>
      </w:r>
      <w:hyperlink r:id="rId1" w:anchor="lbj391id8763" w:history="1">
        <w:r w:rsidRPr="00345482">
          <w:rPr>
            <w:sz w:val="18"/>
            <w:szCs w:val="18"/>
          </w:rPr>
          <w:t> </w:t>
        </w:r>
        <w:r w:rsidR="006C4F97" w:rsidRPr="00345482">
          <w:rPr>
            <w:sz w:val="18"/>
            <w:szCs w:val="18"/>
          </w:rPr>
          <w:t>bekezdésében foglalt rendelkezést is:</w:t>
        </w:r>
        <w:r w:rsidRPr="00345482">
          <w:rPr>
            <w:sz w:val="18"/>
            <w:szCs w:val="18"/>
          </w:rPr>
          <w:t> </w:t>
        </w:r>
      </w:hyperlink>
      <w:r w:rsidR="006C4F97" w:rsidRPr="00345482">
        <w:rPr>
          <w:sz w:val="18"/>
          <w:szCs w:val="18"/>
        </w:rPr>
        <w:t>„</w:t>
      </w:r>
      <w:r w:rsidRPr="00345482">
        <w:rPr>
          <w:sz w:val="18"/>
          <w:szCs w:val="18"/>
        </w:rPr>
        <w:t> A felsőoktatási intézmény szabályzatában lehetővé teszi a tizennegyedik életévét be nem töltött gyermeket nevelő hallgató részére, hogy gyermeke gondozása céljából az előadásoktól és a szemináriumoktól távol maradjon olyan módon, hogy a távollét ne vezessen az adott szak alapvető tanulmányi követelményei alóli mentesítéshez. (…)</w:t>
      </w:r>
      <w:r w:rsidR="006C4F97" w:rsidRPr="00345482">
        <w:rPr>
          <w:sz w:val="18"/>
          <w:szCs w:val="18"/>
        </w:rPr>
        <w:t>”</w:t>
      </w:r>
    </w:p>
  </w:footnote>
  <w:footnote w:id="2">
    <w:p w14:paraId="1272C8EC" w14:textId="77777777" w:rsidR="00D35764" w:rsidRPr="00FF5337" w:rsidRDefault="00D35764" w:rsidP="00D35764">
      <w:pPr>
        <w:pStyle w:val="Lbjegyzetszveg"/>
        <w:jc w:val="both"/>
        <w:rPr>
          <w:sz w:val="18"/>
          <w:szCs w:val="18"/>
        </w:rPr>
      </w:pPr>
      <w:r w:rsidRPr="00FF5337">
        <w:rPr>
          <w:rStyle w:val="Lbjegyzet-hivatkozs"/>
          <w:sz w:val="18"/>
          <w:szCs w:val="18"/>
        </w:rPr>
        <w:footnoteRef/>
      </w:r>
      <w:r w:rsidRPr="00FF5337">
        <w:rPr>
          <w:sz w:val="18"/>
          <w:szCs w:val="18"/>
        </w:rPr>
        <w:t xml:space="preserve"> GDPR 9. cikk (2) bekezdés f) az adatkezelés jogi igények előterjesztéséhez, érvényesítéséhez, illetve védelméhez szükséges, vagy amikor a bíróságok igazságszolgáltatási feladatkörükben járnak el;</w:t>
      </w:r>
    </w:p>
  </w:footnote>
  <w:footnote w:id="3">
    <w:p w14:paraId="5892C9B1" w14:textId="77777777" w:rsidR="00D35764" w:rsidRPr="00FF5337" w:rsidRDefault="00D35764" w:rsidP="00D35764">
      <w:pPr>
        <w:pStyle w:val="Lbjegyzetszveg"/>
        <w:jc w:val="both"/>
        <w:rPr>
          <w:sz w:val="18"/>
          <w:szCs w:val="18"/>
        </w:rPr>
      </w:pPr>
      <w:r w:rsidRPr="00FF5337">
        <w:rPr>
          <w:rStyle w:val="Lbjegyzet-hivatkozs"/>
          <w:sz w:val="18"/>
          <w:szCs w:val="18"/>
        </w:rPr>
        <w:footnoteRef/>
      </w:r>
      <w:r w:rsidRPr="00FF5337">
        <w:rPr>
          <w:sz w:val="18"/>
          <w:szCs w:val="18"/>
        </w:rPr>
        <w:t xml:space="preserve"> GDPR 9. cikk (2) bekezdés h) 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14:paraId="125081D7" w14:textId="77777777" w:rsidR="00D35764" w:rsidRDefault="00D35764" w:rsidP="00D35764">
      <w:pPr>
        <w:pStyle w:val="Lbjegyzetszveg"/>
      </w:pPr>
    </w:p>
  </w:footnote>
  <w:footnote w:id="4">
    <w:p w14:paraId="59A559D0" w14:textId="0DE1B1B2" w:rsidR="009F1F7C" w:rsidRDefault="00067571" w:rsidP="009F1F7C">
      <w:pPr>
        <w:pStyle w:val="Jegyzetszveg"/>
        <w:jc w:val="both"/>
      </w:pPr>
      <w:r w:rsidRPr="00345482">
        <w:rPr>
          <w:rStyle w:val="Lbjegyzet-hivatkozs"/>
        </w:rPr>
        <w:footnoteRef/>
      </w:r>
      <w:r w:rsidRPr="00345482">
        <w:t xml:space="preserve"> </w:t>
      </w:r>
      <w:r w:rsidRPr="00345482">
        <w:rPr>
          <w:i/>
          <w:iCs/>
        </w:rPr>
        <w:t>EVOP-portál:</w:t>
      </w:r>
      <w:r w:rsidR="009F1F7C" w:rsidRPr="00345482">
        <w:rPr>
          <w:i/>
          <w:iCs/>
        </w:rPr>
        <w:t xml:space="preserve"> </w:t>
      </w:r>
      <w:r w:rsidR="009F1F7C" w:rsidRPr="00345482">
        <w:t xml:space="preserve">az EVOP-portál egy központi alkalmazás, amelybe az </w:t>
      </w:r>
      <w:proofErr w:type="spellStart"/>
      <w:r w:rsidR="009F1F7C" w:rsidRPr="00345482">
        <w:t>Nftv</w:t>
      </w:r>
      <w:proofErr w:type="spellEnd"/>
      <w:r w:rsidR="009F1F7C" w:rsidRPr="00345482">
        <w:t>. rendelkezései alapján a felsőoktatási intézmények adatokat szolgáltatnak. Célja az felsőoktatási intézmények közötti kommunikáció biztosítása (pl. egymás közötti vendéghallgatás céljából), illetve bizonyos információk biztosítása külső szereplők számára (pl. a felvételi eljárással összefüggő középiskolai rangsor). / Nftv. 108. § 3.a./</w:t>
      </w:r>
    </w:p>
    <w:p w14:paraId="0C2B3888" w14:textId="40AB1C32" w:rsidR="00067571" w:rsidRDefault="00067571">
      <w:pPr>
        <w:pStyle w:val="Lbjegyzetszveg"/>
      </w:pPr>
    </w:p>
  </w:footnote>
  <w:footnote w:id="5">
    <w:p w14:paraId="0AE2C9FC" w14:textId="5AF2BCBE" w:rsidR="00200854" w:rsidRPr="00722EBF" w:rsidRDefault="00200854" w:rsidP="00E52FB0">
      <w:pPr>
        <w:pStyle w:val="Jegyzetszveg"/>
        <w:jc w:val="both"/>
      </w:pPr>
      <w:r w:rsidRPr="00722EBF">
        <w:rPr>
          <w:rStyle w:val="Lbjegyzet-hivatkozs"/>
          <w:sz w:val="18"/>
          <w:szCs w:val="18"/>
        </w:rPr>
        <w:footnoteRef/>
      </w:r>
      <w:r w:rsidRPr="00722EBF">
        <w:rPr>
          <w:sz w:val="18"/>
          <w:szCs w:val="18"/>
        </w:rPr>
        <w:t xml:space="preserve"> </w:t>
      </w:r>
      <w:r w:rsidR="000621D1" w:rsidRPr="00722EBF">
        <w:rPr>
          <w:sz w:val="18"/>
          <w:szCs w:val="18"/>
        </w:rPr>
        <w:t xml:space="preserve">magyar állami (rész)ösztöndíjas képzéshez kapcsolódó támogatási idő kedvezmény: 47. § </w:t>
      </w:r>
      <w:r w:rsidRPr="00722EBF">
        <w:rPr>
          <w:sz w:val="18"/>
          <w:szCs w:val="18"/>
        </w:rPr>
        <w:t>(6) A támogatási idő számításakor nem kell figyelembe venni g) a házas hallgató gyermeke születésének vagy örökbefogadásának időpontját követő félévétől kezdődő, valamint a gyermekes hallgató házasságkötésének időpontját követő félévtől kezdődő és a hallgató 30. születésnapját követő félévet megelőző félévig tartó a féléveket.</w:t>
      </w:r>
      <w:r w:rsidR="00CA7B14" w:rsidRPr="00722EBF">
        <w:rPr>
          <w:sz w:val="18"/>
          <w:szCs w:val="18"/>
        </w:rPr>
        <w:t xml:space="preserve"> Ld. még 47. § (9) A hallgató házasságának megszűnése a (6) bekezdés g) pontjában foglalt rendelkezést nem érinti.</w:t>
      </w:r>
    </w:p>
  </w:footnote>
  <w:footnote w:id="6">
    <w:p w14:paraId="07863693" w14:textId="15A38282" w:rsidR="001C5784" w:rsidRDefault="001C5784" w:rsidP="001C5784">
      <w:pPr>
        <w:pStyle w:val="Jegyzetszveg"/>
      </w:pPr>
      <w:r w:rsidRPr="00722EBF">
        <w:rPr>
          <w:rStyle w:val="Lbjegyzet-hivatkozs"/>
        </w:rPr>
        <w:footnoteRef/>
      </w:r>
      <w:r w:rsidRPr="00722EBF">
        <w:rPr>
          <w:rStyle w:val="Lbjegyzet-hivatkozs"/>
        </w:rPr>
        <w:t xml:space="preserve"> </w:t>
      </w:r>
      <w:r w:rsidRPr="00722EBF">
        <w:rPr>
          <w:sz w:val="18"/>
          <w:szCs w:val="18"/>
        </w:rPr>
        <w:t>48. § (5)</w:t>
      </w:r>
      <w:hyperlink r:id="rId2" w:anchor="lbj314id3675" w:history="1">
        <w:r w:rsidRPr="00722EBF">
          <w:rPr>
            <w:sz w:val="18"/>
            <w:szCs w:val="18"/>
          </w:rPr>
          <w:t> * </w:t>
        </w:r>
      </w:hyperlink>
      <w:r w:rsidRPr="00722EBF">
        <w:rPr>
          <w:sz w:val="18"/>
          <w:szCs w:val="18"/>
        </w:rPr>
        <w:t> A házas hallgatót a gyermeke születésének vagy örökbefogadásának időpontját, illetve a gyermekes hallgatót a házasságkötésének időpontját követő félévtől magyar állami ösztöndíjas képzési formára kell átsorolni, ha a félév kezdő napján a 30. életévét még nem töltötte be.</w:t>
      </w:r>
    </w:p>
  </w:footnote>
  <w:footnote w:id="7">
    <w:p w14:paraId="062AFC06" w14:textId="77777777" w:rsidR="00DB4E3E" w:rsidRDefault="00DB4E3E" w:rsidP="00DB4E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8">
    <w:p w14:paraId="3A131ADE" w14:textId="77777777" w:rsidR="00DB4E3E" w:rsidRDefault="00DB4E3E" w:rsidP="00DB4E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9">
    <w:p w14:paraId="09FA8254" w14:textId="77777777" w:rsidR="00DB4E3E" w:rsidRDefault="00DB4E3E" w:rsidP="00DB4E3E">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8A3"/>
    <w:multiLevelType w:val="hybridMultilevel"/>
    <w:tmpl w:val="D5A83630"/>
    <w:lvl w:ilvl="0" w:tplc="27509B5C">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89" w:hanging="360"/>
      </w:pPr>
      <w:rPr>
        <w:rFonts w:hint="default"/>
      </w:rPr>
    </w:lvl>
    <w:lvl w:ilvl="1">
      <w:start w:val="1"/>
      <w:numFmt w:val="bullet"/>
      <w:lvlText w:val="o"/>
      <w:lvlJc w:val="left"/>
      <w:pPr>
        <w:ind w:left="1709" w:hanging="360"/>
      </w:pPr>
      <w:rPr>
        <w:rFonts w:ascii="Courier New" w:hAnsi="Courier New" w:cs="Courier New" w:hint="default"/>
      </w:rPr>
    </w:lvl>
    <w:lvl w:ilvl="2">
      <w:start w:val="1"/>
      <w:numFmt w:val="bullet"/>
      <w:lvlText w:val=""/>
      <w:lvlJc w:val="left"/>
      <w:pPr>
        <w:ind w:left="2429" w:hanging="360"/>
      </w:pPr>
      <w:rPr>
        <w:rFonts w:ascii="Wingdings" w:hAnsi="Wingdings" w:hint="default"/>
      </w:rPr>
    </w:lvl>
    <w:lvl w:ilvl="3">
      <w:start w:val="1"/>
      <w:numFmt w:val="bullet"/>
      <w:lvlText w:val=""/>
      <w:lvlJc w:val="left"/>
      <w:pPr>
        <w:ind w:left="3149" w:hanging="360"/>
      </w:pPr>
      <w:rPr>
        <w:rFonts w:ascii="Symbol" w:hAnsi="Symbol" w:hint="default"/>
      </w:rPr>
    </w:lvl>
    <w:lvl w:ilvl="4">
      <w:start w:val="1"/>
      <w:numFmt w:val="bullet"/>
      <w:lvlText w:val="o"/>
      <w:lvlJc w:val="left"/>
      <w:pPr>
        <w:ind w:left="3869" w:hanging="360"/>
      </w:pPr>
      <w:rPr>
        <w:rFonts w:ascii="Courier New" w:hAnsi="Courier New" w:cs="Courier New" w:hint="default"/>
      </w:rPr>
    </w:lvl>
    <w:lvl w:ilvl="5">
      <w:start w:val="1"/>
      <w:numFmt w:val="bullet"/>
      <w:lvlText w:val=""/>
      <w:lvlJc w:val="left"/>
      <w:pPr>
        <w:ind w:left="4589" w:hanging="360"/>
      </w:pPr>
      <w:rPr>
        <w:rFonts w:ascii="Wingdings" w:hAnsi="Wingdings" w:hint="default"/>
      </w:rPr>
    </w:lvl>
    <w:lvl w:ilvl="6">
      <w:start w:val="1"/>
      <w:numFmt w:val="bullet"/>
      <w:lvlText w:val=""/>
      <w:lvlJc w:val="left"/>
      <w:pPr>
        <w:ind w:left="5309" w:hanging="360"/>
      </w:pPr>
      <w:rPr>
        <w:rFonts w:ascii="Symbol" w:hAnsi="Symbol" w:hint="default"/>
      </w:rPr>
    </w:lvl>
    <w:lvl w:ilvl="7">
      <w:start w:val="1"/>
      <w:numFmt w:val="bullet"/>
      <w:lvlText w:val="o"/>
      <w:lvlJc w:val="left"/>
      <w:pPr>
        <w:ind w:left="6029" w:hanging="360"/>
      </w:pPr>
      <w:rPr>
        <w:rFonts w:ascii="Courier New" w:hAnsi="Courier New" w:cs="Courier New" w:hint="default"/>
      </w:rPr>
    </w:lvl>
    <w:lvl w:ilvl="8">
      <w:start w:val="1"/>
      <w:numFmt w:val="bullet"/>
      <w:lvlText w:val=""/>
      <w:lvlJc w:val="left"/>
      <w:pPr>
        <w:ind w:left="6749"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901EC5"/>
    <w:multiLevelType w:val="hybridMultilevel"/>
    <w:tmpl w:val="4C64F96E"/>
    <w:lvl w:ilvl="0" w:tplc="3210E7B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6" w15:restartNumberingAfterBreak="0">
    <w:nsid w:val="30EC1A72"/>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8"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F2812D7"/>
    <w:multiLevelType w:val="hybridMultilevel"/>
    <w:tmpl w:val="EF46CF4A"/>
    <w:lvl w:ilvl="0" w:tplc="42089782">
      <w:start w:val="5"/>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1"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1D68F3"/>
    <w:multiLevelType w:val="hybridMultilevel"/>
    <w:tmpl w:val="7020F18A"/>
    <w:lvl w:ilvl="0" w:tplc="8194A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lvlOverride w:ilvl="0">
      <w:startOverride w:val="1"/>
    </w:lvlOverride>
    <w:lvlOverride w:ilvl="1">
      <w:startOverride w:val="1"/>
    </w:lvlOverride>
  </w:num>
  <w:num w:numId="8">
    <w:abstractNumId w:val="1"/>
  </w:num>
  <w:num w:numId="9">
    <w:abstractNumId w:val="11"/>
  </w:num>
  <w:num w:numId="10">
    <w:abstractNumId w:val="2"/>
  </w:num>
  <w:num w:numId="11">
    <w:abstractNumId w:val="8"/>
  </w:num>
  <w:num w:numId="12">
    <w:abstractNumId w:val="0"/>
  </w:num>
  <w:num w:numId="13">
    <w:abstractNumId w:val="15"/>
  </w:num>
  <w:num w:numId="14">
    <w:abstractNumId w:val="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2E6A"/>
    <w:rsid w:val="00003280"/>
    <w:rsid w:val="00006BC7"/>
    <w:rsid w:val="00006C5D"/>
    <w:rsid w:val="00021D9A"/>
    <w:rsid w:val="000277F8"/>
    <w:rsid w:val="00031D54"/>
    <w:rsid w:val="0003350A"/>
    <w:rsid w:val="00040C5A"/>
    <w:rsid w:val="0004353E"/>
    <w:rsid w:val="000621D1"/>
    <w:rsid w:val="000622B3"/>
    <w:rsid w:val="00065ED7"/>
    <w:rsid w:val="000663CD"/>
    <w:rsid w:val="00067571"/>
    <w:rsid w:val="00070594"/>
    <w:rsid w:val="00071A2F"/>
    <w:rsid w:val="00072A4E"/>
    <w:rsid w:val="00077CF5"/>
    <w:rsid w:val="00082E8D"/>
    <w:rsid w:val="00085165"/>
    <w:rsid w:val="0009287E"/>
    <w:rsid w:val="00092FA8"/>
    <w:rsid w:val="00097037"/>
    <w:rsid w:val="000A6547"/>
    <w:rsid w:val="000B13C3"/>
    <w:rsid w:val="000B4264"/>
    <w:rsid w:val="000B7741"/>
    <w:rsid w:val="000C03B6"/>
    <w:rsid w:val="000C17F5"/>
    <w:rsid w:val="000C3CF2"/>
    <w:rsid w:val="000D31CD"/>
    <w:rsid w:val="000D3477"/>
    <w:rsid w:val="000D5E2C"/>
    <w:rsid w:val="000E3AFC"/>
    <w:rsid w:val="000E3D6A"/>
    <w:rsid w:val="000E7C2D"/>
    <w:rsid w:val="00100FE4"/>
    <w:rsid w:val="00102207"/>
    <w:rsid w:val="00106568"/>
    <w:rsid w:val="00114C17"/>
    <w:rsid w:val="0011692F"/>
    <w:rsid w:val="001179FF"/>
    <w:rsid w:val="001233E5"/>
    <w:rsid w:val="00124EAA"/>
    <w:rsid w:val="00131311"/>
    <w:rsid w:val="001313FC"/>
    <w:rsid w:val="00140D13"/>
    <w:rsid w:val="00143210"/>
    <w:rsid w:val="0014400A"/>
    <w:rsid w:val="00144B31"/>
    <w:rsid w:val="00166D6E"/>
    <w:rsid w:val="00173876"/>
    <w:rsid w:val="0017482E"/>
    <w:rsid w:val="00176F39"/>
    <w:rsid w:val="0019315F"/>
    <w:rsid w:val="00193AF9"/>
    <w:rsid w:val="0019453C"/>
    <w:rsid w:val="00196DE6"/>
    <w:rsid w:val="00196E95"/>
    <w:rsid w:val="00197854"/>
    <w:rsid w:val="001A3219"/>
    <w:rsid w:val="001A353B"/>
    <w:rsid w:val="001A6D68"/>
    <w:rsid w:val="001B1C09"/>
    <w:rsid w:val="001B37BC"/>
    <w:rsid w:val="001B39F9"/>
    <w:rsid w:val="001B50C6"/>
    <w:rsid w:val="001B59F2"/>
    <w:rsid w:val="001B7C9C"/>
    <w:rsid w:val="001C5784"/>
    <w:rsid w:val="001C6D40"/>
    <w:rsid w:val="001D15B3"/>
    <w:rsid w:val="001D3E8A"/>
    <w:rsid w:val="001D495E"/>
    <w:rsid w:val="001D6F54"/>
    <w:rsid w:val="001E52BE"/>
    <w:rsid w:val="001E5447"/>
    <w:rsid w:val="001E6852"/>
    <w:rsid w:val="001E6D16"/>
    <w:rsid w:val="001F1D15"/>
    <w:rsid w:val="001F2E3F"/>
    <w:rsid w:val="001F52C8"/>
    <w:rsid w:val="001F715B"/>
    <w:rsid w:val="00200854"/>
    <w:rsid w:val="00201803"/>
    <w:rsid w:val="00204954"/>
    <w:rsid w:val="002063E7"/>
    <w:rsid w:val="002067E9"/>
    <w:rsid w:val="00207E97"/>
    <w:rsid w:val="00210E31"/>
    <w:rsid w:val="002155DC"/>
    <w:rsid w:val="002234EA"/>
    <w:rsid w:val="0022350B"/>
    <w:rsid w:val="00227A5B"/>
    <w:rsid w:val="00227DAF"/>
    <w:rsid w:val="002322BD"/>
    <w:rsid w:val="00241ECB"/>
    <w:rsid w:val="002451B7"/>
    <w:rsid w:val="00246936"/>
    <w:rsid w:val="00260309"/>
    <w:rsid w:val="00261B26"/>
    <w:rsid w:val="00264DA2"/>
    <w:rsid w:val="002657C3"/>
    <w:rsid w:val="002729B1"/>
    <w:rsid w:val="002741D7"/>
    <w:rsid w:val="002808F1"/>
    <w:rsid w:val="00295892"/>
    <w:rsid w:val="002969F6"/>
    <w:rsid w:val="002A1700"/>
    <w:rsid w:val="002B22F8"/>
    <w:rsid w:val="002B60AE"/>
    <w:rsid w:val="002C26CE"/>
    <w:rsid w:val="002C3C0F"/>
    <w:rsid w:val="002C7A01"/>
    <w:rsid w:val="002D3B07"/>
    <w:rsid w:val="002D3C69"/>
    <w:rsid w:val="002D4089"/>
    <w:rsid w:val="002D5456"/>
    <w:rsid w:val="002E061B"/>
    <w:rsid w:val="002E39F7"/>
    <w:rsid w:val="0030537A"/>
    <w:rsid w:val="00320128"/>
    <w:rsid w:val="00322FF1"/>
    <w:rsid w:val="0032381E"/>
    <w:rsid w:val="00326C44"/>
    <w:rsid w:val="00332423"/>
    <w:rsid w:val="00333259"/>
    <w:rsid w:val="003427AC"/>
    <w:rsid w:val="00343A43"/>
    <w:rsid w:val="00345482"/>
    <w:rsid w:val="00351F31"/>
    <w:rsid w:val="0035574C"/>
    <w:rsid w:val="00357126"/>
    <w:rsid w:val="00357BE1"/>
    <w:rsid w:val="00363BED"/>
    <w:rsid w:val="003660E8"/>
    <w:rsid w:val="0037064E"/>
    <w:rsid w:val="00375C34"/>
    <w:rsid w:val="00377C24"/>
    <w:rsid w:val="003815D3"/>
    <w:rsid w:val="0038397D"/>
    <w:rsid w:val="003950CB"/>
    <w:rsid w:val="003A0153"/>
    <w:rsid w:val="003A255E"/>
    <w:rsid w:val="003C0BA7"/>
    <w:rsid w:val="003C28E8"/>
    <w:rsid w:val="003C3D1A"/>
    <w:rsid w:val="003C51B5"/>
    <w:rsid w:val="003C58A0"/>
    <w:rsid w:val="003C6550"/>
    <w:rsid w:val="003D01CA"/>
    <w:rsid w:val="003D67D4"/>
    <w:rsid w:val="003D73CF"/>
    <w:rsid w:val="003E111A"/>
    <w:rsid w:val="003F50C6"/>
    <w:rsid w:val="003F5720"/>
    <w:rsid w:val="003F7CA5"/>
    <w:rsid w:val="004010A6"/>
    <w:rsid w:val="0040237D"/>
    <w:rsid w:val="004024BE"/>
    <w:rsid w:val="00404205"/>
    <w:rsid w:val="00404440"/>
    <w:rsid w:val="00410091"/>
    <w:rsid w:val="00410AD3"/>
    <w:rsid w:val="0041607B"/>
    <w:rsid w:val="00417D04"/>
    <w:rsid w:val="0042546E"/>
    <w:rsid w:val="00426AEC"/>
    <w:rsid w:val="00432B8C"/>
    <w:rsid w:val="00452E7F"/>
    <w:rsid w:val="004532A0"/>
    <w:rsid w:val="00457FE8"/>
    <w:rsid w:val="00462091"/>
    <w:rsid w:val="00464CA8"/>
    <w:rsid w:val="004705FF"/>
    <w:rsid w:val="004752F4"/>
    <w:rsid w:val="00476E5D"/>
    <w:rsid w:val="0048215E"/>
    <w:rsid w:val="00485457"/>
    <w:rsid w:val="00486643"/>
    <w:rsid w:val="00491034"/>
    <w:rsid w:val="00491D3C"/>
    <w:rsid w:val="00493372"/>
    <w:rsid w:val="0049579B"/>
    <w:rsid w:val="00496566"/>
    <w:rsid w:val="00497A73"/>
    <w:rsid w:val="004A3B39"/>
    <w:rsid w:val="004A3E21"/>
    <w:rsid w:val="004A6E42"/>
    <w:rsid w:val="004B2A02"/>
    <w:rsid w:val="004C057B"/>
    <w:rsid w:val="004C1A24"/>
    <w:rsid w:val="004C3B89"/>
    <w:rsid w:val="004C66DE"/>
    <w:rsid w:val="004D46E4"/>
    <w:rsid w:val="004E2E49"/>
    <w:rsid w:val="004F346B"/>
    <w:rsid w:val="004F5855"/>
    <w:rsid w:val="00501A5B"/>
    <w:rsid w:val="00507E3C"/>
    <w:rsid w:val="005264CF"/>
    <w:rsid w:val="0054016A"/>
    <w:rsid w:val="00546A78"/>
    <w:rsid w:val="0055650C"/>
    <w:rsid w:val="00556772"/>
    <w:rsid w:val="00557811"/>
    <w:rsid w:val="00561CFC"/>
    <w:rsid w:val="00561E9E"/>
    <w:rsid w:val="005622E1"/>
    <w:rsid w:val="00563A08"/>
    <w:rsid w:val="00567CE3"/>
    <w:rsid w:val="00571420"/>
    <w:rsid w:val="00572F41"/>
    <w:rsid w:val="00573558"/>
    <w:rsid w:val="00573AB9"/>
    <w:rsid w:val="005741FD"/>
    <w:rsid w:val="00576F43"/>
    <w:rsid w:val="00582C2F"/>
    <w:rsid w:val="00591218"/>
    <w:rsid w:val="00594522"/>
    <w:rsid w:val="005A181A"/>
    <w:rsid w:val="005A2DC9"/>
    <w:rsid w:val="005A3FE6"/>
    <w:rsid w:val="005A58AC"/>
    <w:rsid w:val="005A6DEA"/>
    <w:rsid w:val="005A732E"/>
    <w:rsid w:val="005A7391"/>
    <w:rsid w:val="005B4457"/>
    <w:rsid w:val="005B7C12"/>
    <w:rsid w:val="005C3525"/>
    <w:rsid w:val="005D78D6"/>
    <w:rsid w:val="005E129F"/>
    <w:rsid w:val="005E7E32"/>
    <w:rsid w:val="005F447F"/>
    <w:rsid w:val="005F5EE8"/>
    <w:rsid w:val="0060185F"/>
    <w:rsid w:val="006053E9"/>
    <w:rsid w:val="00605E50"/>
    <w:rsid w:val="00606B64"/>
    <w:rsid w:val="00617C8A"/>
    <w:rsid w:val="00621A44"/>
    <w:rsid w:val="006267E9"/>
    <w:rsid w:val="006275D1"/>
    <w:rsid w:val="0063294B"/>
    <w:rsid w:val="00633E07"/>
    <w:rsid w:val="00640AEA"/>
    <w:rsid w:val="0064212C"/>
    <w:rsid w:val="00644D11"/>
    <w:rsid w:val="0065686B"/>
    <w:rsid w:val="00662806"/>
    <w:rsid w:val="006658D9"/>
    <w:rsid w:val="00680416"/>
    <w:rsid w:val="00680ED0"/>
    <w:rsid w:val="00681021"/>
    <w:rsid w:val="006836A5"/>
    <w:rsid w:val="00683EE1"/>
    <w:rsid w:val="006872B3"/>
    <w:rsid w:val="0069354F"/>
    <w:rsid w:val="00693E2B"/>
    <w:rsid w:val="00695E16"/>
    <w:rsid w:val="006C4EE8"/>
    <w:rsid w:val="006C4F97"/>
    <w:rsid w:val="006C63CA"/>
    <w:rsid w:val="006D5554"/>
    <w:rsid w:val="006D5C70"/>
    <w:rsid w:val="006E05B3"/>
    <w:rsid w:val="006E4CA1"/>
    <w:rsid w:val="006F6459"/>
    <w:rsid w:val="006F6A32"/>
    <w:rsid w:val="00701865"/>
    <w:rsid w:val="007164CE"/>
    <w:rsid w:val="00716BD4"/>
    <w:rsid w:val="00722EBF"/>
    <w:rsid w:val="0074089E"/>
    <w:rsid w:val="0074143A"/>
    <w:rsid w:val="00743569"/>
    <w:rsid w:val="00750E48"/>
    <w:rsid w:val="00753046"/>
    <w:rsid w:val="00753930"/>
    <w:rsid w:val="00757F0B"/>
    <w:rsid w:val="007703EA"/>
    <w:rsid w:val="00771704"/>
    <w:rsid w:val="0077371F"/>
    <w:rsid w:val="00777F49"/>
    <w:rsid w:val="00780EDC"/>
    <w:rsid w:val="007836EC"/>
    <w:rsid w:val="007879FF"/>
    <w:rsid w:val="00796ABA"/>
    <w:rsid w:val="007979BE"/>
    <w:rsid w:val="007A0819"/>
    <w:rsid w:val="007A1025"/>
    <w:rsid w:val="007A6534"/>
    <w:rsid w:val="007B35C9"/>
    <w:rsid w:val="007B4F86"/>
    <w:rsid w:val="007B7F3B"/>
    <w:rsid w:val="007D1702"/>
    <w:rsid w:val="007D3922"/>
    <w:rsid w:val="007E0072"/>
    <w:rsid w:val="007E1045"/>
    <w:rsid w:val="007E1D92"/>
    <w:rsid w:val="007E5837"/>
    <w:rsid w:val="007E5FEC"/>
    <w:rsid w:val="007F67C8"/>
    <w:rsid w:val="007F7D02"/>
    <w:rsid w:val="00801A4D"/>
    <w:rsid w:val="00801D65"/>
    <w:rsid w:val="00803F3C"/>
    <w:rsid w:val="00805605"/>
    <w:rsid w:val="00806C1D"/>
    <w:rsid w:val="0081443F"/>
    <w:rsid w:val="00823203"/>
    <w:rsid w:val="008416E5"/>
    <w:rsid w:val="008464B2"/>
    <w:rsid w:val="00850605"/>
    <w:rsid w:val="00852A70"/>
    <w:rsid w:val="00853631"/>
    <w:rsid w:val="00853F77"/>
    <w:rsid w:val="00855EE4"/>
    <w:rsid w:val="00860071"/>
    <w:rsid w:val="00863FE5"/>
    <w:rsid w:val="008654E6"/>
    <w:rsid w:val="00867AFE"/>
    <w:rsid w:val="00875F96"/>
    <w:rsid w:val="00883FF9"/>
    <w:rsid w:val="008853AD"/>
    <w:rsid w:val="008855B3"/>
    <w:rsid w:val="00890ECA"/>
    <w:rsid w:val="0089169A"/>
    <w:rsid w:val="008A3ED3"/>
    <w:rsid w:val="008B1145"/>
    <w:rsid w:val="008D009D"/>
    <w:rsid w:val="008D3090"/>
    <w:rsid w:val="008F7E6E"/>
    <w:rsid w:val="009054DD"/>
    <w:rsid w:val="00907583"/>
    <w:rsid w:val="009118BC"/>
    <w:rsid w:val="00911F7C"/>
    <w:rsid w:val="00916B32"/>
    <w:rsid w:val="009172D4"/>
    <w:rsid w:val="009224A3"/>
    <w:rsid w:val="00931383"/>
    <w:rsid w:val="00941C80"/>
    <w:rsid w:val="00967EE0"/>
    <w:rsid w:val="0097066F"/>
    <w:rsid w:val="009745E7"/>
    <w:rsid w:val="00974F71"/>
    <w:rsid w:val="00976CEE"/>
    <w:rsid w:val="00980DBF"/>
    <w:rsid w:val="009826E2"/>
    <w:rsid w:val="0098598C"/>
    <w:rsid w:val="00993FA1"/>
    <w:rsid w:val="0099742F"/>
    <w:rsid w:val="009A2B38"/>
    <w:rsid w:val="009A6F5E"/>
    <w:rsid w:val="009B02B3"/>
    <w:rsid w:val="009B4891"/>
    <w:rsid w:val="009B5B6D"/>
    <w:rsid w:val="009B6B0B"/>
    <w:rsid w:val="009C1A46"/>
    <w:rsid w:val="009C5198"/>
    <w:rsid w:val="009D3C4A"/>
    <w:rsid w:val="009D538F"/>
    <w:rsid w:val="009D5EAA"/>
    <w:rsid w:val="009E3A91"/>
    <w:rsid w:val="009E7248"/>
    <w:rsid w:val="009F1F7C"/>
    <w:rsid w:val="009F4C5E"/>
    <w:rsid w:val="00A03980"/>
    <w:rsid w:val="00A041ED"/>
    <w:rsid w:val="00A07868"/>
    <w:rsid w:val="00A1652B"/>
    <w:rsid w:val="00A21ED5"/>
    <w:rsid w:val="00A232A6"/>
    <w:rsid w:val="00A25392"/>
    <w:rsid w:val="00A25B74"/>
    <w:rsid w:val="00A317F2"/>
    <w:rsid w:val="00A33707"/>
    <w:rsid w:val="00A34867"/>
    <w:rsid w:val="00A4311B"/>
    <w:rsid w:val="00A540D7"/>
    <w:rsid w:val="00A615D2"/>
    <w:rsid w:val="00A647B8"/>
    <w:rsid w:val="00A66CCD"/>
    <w:rsid w:val="00A70D1F"/>
    <w:rsid w:val="00A7154B"/>
    <w:rsid w:val="00A75954"/>
    <w:rsid w:val="00A804CE"/>
    <w:rsid w:val="00A82BDD"/>
    <w:rsid w:val="00A91F5A"/>
    <w:rsid w:val="00A93E9A"/>
    <w:rsid w:val="00AA2675"/>
    <w:rsid w:val="00AA32F5"/>
    <w:rsid w:val="00AA5FE5"/>
    <w:rsid w:val="00AA642A"/>
    <w:rsid w:val="00AB21EB"/>
    <w:rsid w:val="00AB4577"/>
    <w:rsid w:val="00AC2824"/>
    <w:rsid w:val="00AD067E"/>
    <w:rsid w:val="00AD42BF"/>
    <w:rsid w:val="00AD5306"/>
    <w:rsid w:val="00AD5700"/>
    <w:rsid w:val="00AD7628"/>
    <w:rsid w:val="00AE1C58"/>
    <w:rsid w:val="00AE4099"/>
    <w:rsid w:val="00AF51B4"/>
    <w:rsid w:val="00B001BA"/>
    <w:rsid w:val="00B044E5"/>
    <w:rsid w:val="00B04D60"/>
    <w:rsid w:val="00B110F4"/>
    <w:rsid w:val="00B1633C"/>
    <w:rsid w:val="00B23A1E"/>
    <w:rsid w:val="00B25B3F"/>
    <w:rsid w:val="00B26CF2"/>
    <w:rsid w:val="00B26D77"/>
    <w:rsid w:val="00B27FC2"/>
    <w:rsid w:val="00B312AC"/>
    <w:rsid w:val="00B34F0A"/>
    <w:rsid w:val="00B3503F"/>
    <w:rsid w:val="00B351D7"/>
    <w:rsid w:val="00B35CDF"/>
    <w:rsid w:val="00B41ACC"/>
    <w:rsid w:val="00B42AB0"/>
    <w:rsid w:val="00B50506"/>
    <w:rsid w:val="00B509D5"/>
    <w:rsid w:val="00B54BAB"/>
    <w:rsid w:val="00B62224"/>
    <w:rsid w:val="00B639E0"/>
    <w:rsid w:val="00B645D6"/>
    <w:rsid w:val="00B666B6"/>
    <w:rsid w:val="00B6715C"/>
    <w:rsid w:val="00B6726D"/>
    <w:rsid w:val="00B6785F"/>
    <w:rsid w:val="00B700FF"/>
    <w:rsid w:val="00B85935"/>
    <w:rsid w:val="00B964F8"/>
    <w:rsid w:val="00B9674E"/>
    <w:rsid w:val="00BA2676"/>
    <w:rsid w:val="00BA4559"/>
    <w:rsid w:val="00BB099E"/>
    <w:rsid w:val="00BB197E"/>
    <w:rsid w:val="00BB4A1F"/>
    <w:rsid w:val="00BB4A59"/>
    <w:rsid w:val="00BB69C4"/>
    <w:rsid w:val="00BC19A7"/>
    <w:rsid w:val="00BD0216"/>
    <w:rsid w:val="00BD36C6"/>
    <w:rsid w:val="00BE35A7"/>
    <w:rsid w:val="00BE55FE"/>
    <w:rsid w:val="00BF0E9E"/>
    <w:rsid w:val="00BF5FE1"/>
    <w:rsid w:val="00C017F7"/>
    <w:rsid w:val="00C01A67"/>
    <w:rsid w:val="00C02ACE"/>
    <w:rsid w:val="00C0471F"/>
    <w:rsid w:val="00C0509A"/>
    <w:rsid w:val="00C15567"/>
    <w:rsid w:val="00C17C89"/>
    <w:rsid w:val="00C17D68"/>
    <w:rsid w:val="00C2621C"/>
    <w:rsid w:val="00C30962"/>
    <w:rsid w:val="00C348B2"/>
    <w:rsid w:val="00C415E5"/>
    <w:rsid w:val="00C4202E"/>
    <w:rsid w:val="00C45407"/>
    <w:rsid w:val="00C5192F"/>
    <w:rsid w:val="00C553F0"/>
    <w:rsid w:val="00C57110"/>
    <w:rsid w:val="00C6160D"/>
    <w:rsid w:val="00C73A77"/>
    <w:rsid w:val="00C74B8D"/>
    <w:rsid w:val="00C75909"/>
    <w:rsid w:val="00C77E84"/>
    <w:rsid w:val="00C82D1C"/>
    <w:rsid w:val="00C85F8A"/>
    <w:rsid w:val="00C94019"/>
    <w:rsid w:val="00C9785A"/>
    <w:rsid w:val="00CA0082"/>
    <w:rsid w:val="00CA0B89"/>
    <w:rsid w:val="00CA612B"/>
    <w:rsid w:val="00CA7B14"/>
    <w:rsid w:val="00CB4063"/>
    <w:rsid w:val="00CB45CF"/>
    <w:rsid w:val="00CB4C26"/>
    <w:rsid w:val="00CC1341"/>
    <w:rsid w:val="00CC16CF"/>
    <w:rsid w:val="00CC1B9B"/>
    <w:rsid w:val="00CC7DA5"/>
    <w:rsid w:val="00CD0724"/>
    <w:rsid w:val="00CD5778"/>
    <w:rsid w:val="00CE04C3"/>
    <w:rsid w:val="00CE6001"/>
    <w:rsid w:val="00CE697B"/>
    <w:rsid w:val="00CF157D"/>
    <w:rsid w:val="00CF4162"/>
    <w:rsid w:val="00CF5CAA"/>
    <w:rsid w:val="00D010D1"/>
    <w:rsid w:val="00D051BE"/>
    <w:rsid w:val="00D10862"/>
    <w:rsid w:val="00D11AB4"/>
    <w:rsid w:val="00D12612"/>
    <w:rsid w:val="00D126A3"/>
    <w:rsid w:val="00D1585E"/>
    <w:rsid w:val="00D17C57"/>
    <w:rsid w:val="00D17EDA"/>
    <w:rsid w:val="00D26233"/>
    <w:rsid w:val="00D33EC8"/>
    <w:rsid w:val="00D35764"/>
    <w:rsid w:val="00D40226"/>
    <w:rsid w:val="00D41FAB"/>
    <w:rsid w:val="00D42327"/>
    <w:rsid w:val="00D5623D"/>
    <w:rsid w:val="00D60D32"/>
    <w:rsid w:val="00D64AD4"/>
    <w:rsid w:val="00D65DA8"/>
    <w:rsid w:val="00D70552"/>
    <w:rsid w:val="00D71094"/>
    <w:rsid w:val="00D712CC"/>
    <w:rsid w:val="00D74EFF"/>
    <w:rsid w:val="00D8072A"/>
    <w:rsid w:val="00D8392C"/>
    <w:rsid w:val="00D84C7B"/>
    <w:rsid w:val="00D867A3"/>
    <w:rsid w:val="00D86CFB"/>
    <w:rsid w:val="00D871F3"/>
    <w:rsid w:val="00D90269"/>
    <w:rsid w:val="00D90338"/>
    <w:rsid w:val="00D927D9"/>
    <w:rsid w:val="00D94194"/>
    <w:rsid w:val="00D95E00"/>
    <w:rsid w:val="00D96588"/>
    <w:rsid w:val="00D97EC9"/>
    <w:rsid w:val="00D97F28"/>
    <w:rsid w:val="00DB3042"/>
    <w:rsid w:val="00DB4E3E"/>
    <w:rsid w:val="00DB6E9B"/>
    <w:rsid w:val="00DC0FBA"/>
    <w:rsid w:val="00DC224E"/>
    <w:rsid w:val="00DD0CB9"/>
    <w:rsid w:val="00DD3CB1"/>
    <w:rsid w:val="00DE390B"/>
    <w:rsid w:val="00DE6BEB"/>
    <w:rsid w:val="00DF0AB1"/>
    <w:rsid w:val="00DF1909"/>
    <w:rsid w:val="00DF2CD2"/>
    <w:rsid w:val="00DF46DB"/>
    <w:rsid w:val="00DF7AFB"/>
    <w:rsid w:val="00E126BC"/>
    <w:rsid w:val="00E14B4D"/>
    <w:rsid w:val="00E166F0"/>
    <w:rsid w:val="00E213FA"/>
    <w:rsid w:val="00E21CC3"/>
    <w:rsid w:val="00E23724"/>
    <w:rsid w:val="00E23CE1"/>
    <w:rsid w:val="00E27909"/>
    <w:rsid w:val="00E315DB"/>
    <w:rsid w:val="00E32E3A"/>
    <w:rsid w:val="00E353D3"/>
    <w:rsid w:val="00E40987"/>
    <w:rsid w:val="00E44563"/>
    <w:rsid w:val="00E457AF"/>
    <w:rsid w:val="00E50C31"/>
    <w:rsid w:val="00E52FB0"/>
    <w:rsid w:val="00E53DA8"/>
    <w:rsid w:val="00E57E54"/>
    <w:rsid w:val="00E650BA"/>
    <w:rsid w:val="00E67467"/>
    <w:rsid w:val="00E67CBA"/>
    <w:rsid w:val="00E67F91"/>
    <w:rsid w:val="00E707D2"/>
    <w:rsid w:val="00E72B1B"/>
    <w:rsid w:val="00E76757"/>
    <w:rsid w:val="00E82BB0"/>
    <w:rsid w:val="00E8421E"/>
    <w:rsid w:val="00E86C6F"/>
    <w:rsid w:val="00E927D1"/>
    <w:rsid w:val="00E93A8C"/>
    <w:rsid w:val="00E95AA9"/>
    <w:rsid w:val="00E97CDF"/>
    <w:rsid w:val="00EA0E97"/>
    <w:rsid w:val="00EA4BAC"/>
    <w:rsid w:val="00EA5AD9"/>
    <w:rsid w:val="00EA7C13"/>
    <w:rsid w:val="00EB26F9"/>
    <w:rsid w:val="00EB4E4A"/>
    <w:rsid w:val="00EC1715"/>
    <w:rsid w:val="00EC24A2"/>
    <w:rsid w:val="00ED4F89"/>
    <w:rsid w:val="00ED68C8"/>
    <w:rsid w:val="00EE297A"/>
    <w:rsid w:val="00EE32D7"/>
    <w:rsid w:val="00EE3D20"/>
    <w:rsid w:val="00EE4555"/>
    <w:rsid w:val="00EF0997"/>
    <w:rsid w:val="00EF22A9"/>
    <w:rsid w:val="00F00FE3"/>
    <w:rsid w:val="00F01A2D"/>
    <w:rsid w:val="00F06B58"/>
    <w:rsid w:val="00F115E8"/>
    <w:rsid w:val="00F14787"/>
    <w:rsid w:val="00F17FDE"/>
    <w:rsid w:val="00F2024A"/>
    <w:rsid w:val="00F238FC"/>
    <w:rsid w:val="00F268F9"/>
    <w:rsid w:val="00F3479B"/>
    <w:rsid w:val="00F362AC"/>
    <w:rsid w:val="00F42155"/>
    <w:rsid w:val="00F445C9"/>
    <w:rsid w:val="00F45F64"/>
    <w:rsid w:val="00F475E4"/>
    <w:rsid w:val="00F571B0"/>
    <w:rsid w:val="00F650AB"/>
    <w:rsid w:val="00F655CC"/>
    <w:rsid w:val="00F74B4F"/>
    <w:rsid w:val="00F7758E"/>
    <w:rsid w:val="00F77AC9"/>
    <w:rsid w:val="00F90B4B"/>
    <w:rsid w:val="00F9169B"/>
    <w:rsid w:val="00F93203"/>
    <w:rsid w:val="00F93B7F"/>
    <w:rsid w:val="00F9656E"/>
    <w:rsid w:val="00FA03F8"/>
    <w:rsid w:val="00FA20BF"/>
    <w:rsid w:val="00FA339F"/>
    <w:rsid w:val="00FA51E3"/>
    <w:rsid w:val="00FA6616"/>
    <w:rsid w:val="00FB0978"/>
    <w:rsid w:val="00FB5287"/>
    <w:rsid w:val="00FB5C7C"/>
    <w:rsid w:val="00FC50AF"/>
    <w:rsid w:val="00FC57DB"/>
    <w:rsid w:val="00FD15BF"/>
    <w:rsid w:val="00FD24BC"/>
    <w:rsid w:val="00FD493D"/>
    <w:rsid w:val="00FE13E6"/>
    <w:rsid w:val="00FE2A25"/>
    <w:rsid w:val="00FE48BC"/>
    <w:rsid w:val="00FE7899"/>
    <w:rsid w:val="00FF2798"/>
    <w:rsid w:val="00FF35A5"/>
    <w:rsid w:val="00FF53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533"/>
  <w15:docId w15:val="{BC00184E-255E-40B2-A2DD-7DD15D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qFormat/>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qFormat/>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link w:val="ListaszerbekezdsChar"/>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unhideWhenUsed/>
    <w:rsid w:val="00F93203"/>
    <w:rPr>
      <w:sz w:val="20"/>
    </w:rPr>
  </w:style>
  <w:style w:type="character" w:customStyle="1" w:styleId="JegyzetszvegChar">
    <w:name w:val="Jegyzetszöveg Char"/>
    <w:basedOn w:val="Bekezdsalapbettpusa"/>
    <w:link w:val="Jegyzetszveg"/>
    <w:uiPriority w:val="99"/>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8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752F4"/>
    <w:pPr>
      <w:tabs>
        <w:tab w:val="center" w:pos="4536"/>
        <w:tab w:val="right" w:pos="9072"/>
      </w:tabs>
    </w:pPr>
  </w:style>
  <w:style w:type="character" w:customStyle="1" w:styleId="lfejChar">
    <w:name w:val="Élőfej Char"/>
    <w:basedOn w:val="Bekezdsalapbettpusa"/>
    <w:link w:val="lfej"/>
    <w:uiPriority w:val="99"/>
    <w:rsid w:val="004752F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752F4"/>
    <w:pPr>
      <w:tabs>
        <w:tab w:val="center" w:pos="4536"/>
        <w:tab w:val="right" w:pos="9072"/>
      </w:tabs>
    </w:pPr>
  </w:style>
  <w:style w:type="character" w:customStyle="1" w:styleId="llbChar">
    <w:name w:val="Élőláb Char"/>
    <w:basedOn w:val="Bekezdsalapbettpusa"/>
    <w:link w:val="llb"/>
    <w:uiPriority w:val="99"/>
    <w:rsid w:val="004752F4"/>
    <w:rPr>
      <w:rFonts w:ascii="Times New Roman" w:eastAsia="Times New Roman" w:hAnsi="Times New Roman" w:cs="Times New Roman"/>
      <w:sz w:val="24"/>
      <w:szCs w:val="20"/>
      <w:lang w:eastAsia="hu-HU"/>
    </w:rPr>
  </w:style>
  <w:style w:type="paragraph" w:customStyle="1" w:styleId="Norml2">
    <w:name w:val="Normál2"/>
    <w:basedOn w:val="Norml"/>
    <w:rsid w:val="002729B1"/>
    <w:pPr>
      <w:spacing w:before="100" w:beforeAutospacing="1" w:after="100" w:afterAutospacing="1"/>
    </w:pPr>
    <w:rPr>
      <w:szCs w:val="24"/>
    </w:rPr>
  </w:style>
  <w:style w:type="character" w:customStyle="1" w:styleId="ListaszerbekezdsChar">
    <w:name w:val="Listaszerű bekezdés Char"/>
    <w:link w:val="Listaszerbekezds"/>
    <w:uiPriority w:val="34"/>
    <w:qFormat/>
    <w:locked/>
    <w:rsid w:val="00DB4E3E"/>
    <w:rPr>
      <w:rFonts w:ascii="Calibri" w:eastAsia="Calibri" w:hAnsi="Calibri" w:cs="Times New Roman"/>
    </w:rPr>
  </w:style>
  <w:style w:type="character" w:customStyle="1" w:styleId="cf01">
    <w:name w:val="cf01"/>
    <w:basedOn w:val="Bekezdsalapbettpusa"/>
    <w:rsid w:val="00D97EC9"/>
    <w:rPr>
      <w:rFonts w:ascii="Segoe UI" w:hAnsi="Segoe UI" w:cs="Segoe UI" w:hint="default"/>
      <w:sz w:val="18"/>
      <w:szCs w:val="18"/>
    </w:rPr>
  </w:style>
  <w:style w:type="character" w:styleId="Feloldatlanmegemlts">
    <w:name w:val="Unresolved Mention"/>
    <w:basedOn w:val="Bekezdsalapbettpusa"/>
    <w:uiPriority w:val="99"/>
    <w:semiHidden/>
    <w:unhideWhenUsed/>
    <w:rsid w:val="00B27FC2"/>
    <w:rPr>
      <w:color w:val="605E5C"/>
      <w:shd w:val="clear" w:color="auto" w:fill="E1DFDD"/>
    </w:rPr>
  </w:style>
  <w:style w:type="character" w:customStyle="1" w:styleId="fui-primitive">
    <w:name w:val="fui-primitive"/>
    <w:basedOn w:val="Bekezdsalapbettpusa"/>
    <w:rsid w:val="00576F43"/>
  </w:style>
  <w:style w:type="paragraph" w:customStyle="1" w:styleId="ck-placeholder">
    <w:name w:val="ck-placeholder"/>
    <w:basedOn w:val="Norml"/>
    <w:rsid w:val="00576F43"/>
    <w:pPr>
      <w:spacing w:before="100" w:beforeAutospacing="1" w:after="100" w:afterAutospacing="1"/>
    </w:pPr>
    <w:rPr>
      <w:szCs w:val="24"/>
    </w:rPr>
  </w:style>
  <w:style w:type="character" w:customStyle="1" w:styleId="highlighted">
    <w:name w:val="highlighted"/>
    <w:basedOn w:val="Bekezdsalapbettpusa"/>
    <w:rsid w:val="0006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263">
      <w:bodyDiv w:val="1"/>
      <w:marLeft w:val="0"/>
      <w:marRight w:val="0"/>
      <w:marTop w:val="0"/>
      <w:marBottom w:val="0"/>
      <w:divBdr>
        <w:top w:val="none" w:sz="0" w:space="0" w:color="auto"/>
        <w:left w:val="none" w:sz="0" w:space="0" w:color="auto"/>
        <w:bottom w:val="none" w:sz="0" w:space="0" w:color="auto"/>
        <w:right w:val="none" w:sz="0" w:space="0" w:color="auto"/>
      </w:divBdr>
    </w:div>
    <w:div w:id="313335124">
      <w:bodyDiv w:val="1"/>
      <w:marLeft w:val="0"/>
      <w:marRight w:val="0"/>
      <w:marTop w:val="0"/>
      <w:marBottom w:val="0"/>
      <w:divBdr>
        <w:top w:val="none" w:sz="0" w:space="0" w:color="auto"/>
        <w:left w:val="none" w:sz="0" w:space="0" w:color="auto"/>
        <w:bottom w:val="none" w:sz="0" w:space="0" w:color="auto"/>
        <w:right w:val="none" w:sz="0" w:space="0" w:color="auto"/>
      </w:divBdr>
    </w:div>
    <w:div w:id="538902701">
      <w:bodyDiv w:val="1"/>
      <w:marLeft w:val="0"/>
      <w:marRight w:val="0"/>
      <w:marTop w:val="0"/>
      <w:marBottom w:val="0"/>
      <w:divBdr>
        <w:top w:val="none" w:sz="0" w:space="0" w:color="auto"/>
        <w:left w:val="none" w:sz="0" w:space="0" w:color="auto"/>
        <w:bottom w:val="none" w:sz="0" w:space="0" w:color="auto"/>
        <w:right w:val="none" w:sz="0" w:space="0" w:color="auto"/>
      </w:divBdr>
    </w:div>
    <w:div w:id="932665968">
      <w:bodyDiv w:val="1"/>
      <w:marLeft w:val="0"/>
      <w:marRight w:val="0"/>
      <w:marTop w:val="0"/>
      <w:marBottom w:val="0"/>
      <w:divBdr>
        <w:top w:val="none" w:sz="0" w:space="0" w:color="auto"/>
        <w:left w:val="none" w:sz="0" w:space="0" w:color="auto"/>
        <w:bottom w:val="none" w:sz="0" w:space="0" w:color="auto"/>
        <w:right w:val="none" w:sz="0" w:space="0" w:color="auto"/>
      </w:divBdr>
    </w:div>
    <w:div w:id="963266175">
      <w:bodyDiv w:val="1"/>
      <w:marLeft w:val="0"/>
      <w:marRight w:val="0"/>
      <w:marTop w:val="0"/>
      <w:marBottom w:val="0"/>
      <w:divBdr>
        <w:top w:val="none" w:sz="0" w:space="0" w:color="auto"/>
        <w:left w:val="none" w:sz="0" w:space="0" w:color="auto"/>
        <w:bottom w:val="none" w:sz="0" w:space="0" w:color="auto"/>
        <w:right w:val="none" w:sz="0" w:space="0" w:color="auto"/>
      </w:divBdr>
    </w:div>
    <w:div w:id="1072041141">
      <w:bodyDiv w:val="1"/>
      <w:marLeft w:val="0"/>
      <w:marRight w:val="0"/>
      <w:marTop w:val="0"/>
      <w:marBottom w:val="0"/>
      <w:divBdr>
        <w:top w:val="none" w:sz="0" w:space="0" w:color="auto"/>
        <w:left w:val="none" w:sz="0" w:space="0" w:color="auto"/>
        <w:bottom w:val="none" w:sz="0" w:space="0" w:color="auto"/>
        <w:right w:val="none" w:sz="0" w:space="0" w:color="auto"/>
      </w:divBdr>
    </w:div>
    <w:div w:id="1146817655">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359231611">
      <w:bodyDiv w:val="1"/>
      <w:marLeft w:val="0"/>
      <w:marRight w:val="0"/>
      <w:marTop w:val="0"/>
      <w:marBottom w:val="0"/>
      <w:divBdr>
        <w:top w:val="none" w:sz="0" w:space="0" w:color="auto"/>
        <w:left w:val="none" w:sz="0" w:space="0" w:color="auto"/>
        <w:bottom w:val="none" w:sz="0" w:space="0" w:color="auto"/>
        <w:right w:val="none" w:sz="0" w:space="0" w:color="auto"/>
      </w:divBdr>
    </w:div>
    <w:div w:id="1526090141">
      <w:bodyDiv w:val="1"/>
      <w:marLeft w:val="0"/>
      <w:marRight w:val="0"/>
      <w:marTop w:val="0"/>
      <w:marBottom w:val="0"/>
      <w:divBdr>
        <w:top w:val="none" w:sz="0" w:space="0" w:color="auto"/>
        <w:left w:val="none" w:sz="0" w:space="0" w:color="auto"/>
        <w:bottom w:val="none" w:sz="0" w:space="0" w:color="auto"/>
        <w:right w:val="none" w:sz="0" w:space="0" w:color="auto"/>
      </w:divBdr>
    </w:div>
    <w:div w:id="1537549779">
      <w:bodyDiv w:val="1"/>
      <w:marLeft w:val="0"/>
      <w:marRight w:val="0"/>
      <w:marTop w:val="0"/>
      <w:marBottom w:val="0"/>
      <w:divBdr>
        <w:top w:val="none" w:sz="0" w:space="0" w:color="auto"/>
        <w:left w:val="none" w:sz="0" w:space="0" w:color="auto"/>
        <w:bottom w:val="none" w:sz="0" w:space="0" w:color="auto"/>
        <w:right w:val="none" w:sz="0" w:space="0" w:color="auto"/>
      </w:divBdr>
    </w:div>
    <w:div w:id="1708793827">
      <w:bodyDiv w:val="1"/>
      <w:marLeft w:val="0"/>
      <w:marRight w:val="0"/>
      <w:marTop w:val="0"/>
      <w:marBottom w:val="0"/>
      <w:divBdr>
        <w:top w:val="none" w:sz="0" w:space="0" w:color="auto"/>
        <w:left w:val="none" w:sz="0" w:space="0" w:color="auto"/>
        <w:bottom w:val="none" w:sz="0" w:space="0" w:color="auto"/>
        <w:right w:val="none" w:sz="0" w:space="0" w:color="auto"/>
      </w:divBdr>
    </w:div>
    <w:div w:id="1852834925">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tanulmanyi_hivatal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e.hu/dstore/document/7979/Nftv_mell%C3%A9klet_20220101_Hallgat%C3%B3k%20adatai_20220413.doc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adatvedelem.elte.hu/tajekoztatok-sablonok"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t.jogtar.hu/jogszabaly?docid=a1100204.tv" TargetMode="External"/><Relationship Id="rId1" Type="http://schemas.openxmlformats.org/officeDocument/2006/relationships/hyperlink" Target="https://net.jogtar.hu/jogszabaly?docid=a1100204.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5CC3-3990-4AFB-8D10-384F89A9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3264</Words>
  <Characters>22529</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Dr. Csibra Klára</cp:lastModifiedBy>
  <cp:revision>7</cp:revision>
  <dcterms:created xsi:type="dcterms:W3CDTF">2025-03-18T10:14:00Z</dcterms:created>
  <dcterms:modified xsi:type="dcterms:W3CDTF">2025-03-18T10:32:00Z</dcterms:modified>
</cp:coreProperties>
</file>