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B08F" w14:textId="0E59EA04" w:rsidR="00380E1A" w:rsidRPr="00A00CB3" w:rsidRDefault="0049421E" w:rsidP="00380E1A">
      <w:pPr>
        <w:spacing w:after="0" w:line="240" w:lineRule="auto"/>
        <w:jc w:val="center"/>
        <w:rPr>
          <w:rFonts w:ascii="Times New Roman" w:eastAsia="Times New Roman" w:hAnsi="Times New Roman" w:cs="Times New Roman"/>
          <w:b/>
          <w:bCs/>
          <w:kern w:val="0"/>
          <w:sz w:val="32"/>
          <w:szCs w:val="32"/>
          <w:lang w:eastAsia="hu-HU"/>
          <w14:ligatures w14:val="none"/>
        </w:rPr>
      </w:pPr>
      <w:r>
        <w:rPr>
          <w:rFonts w:ascii="Times New Roman" w:eastAsia="Times New Roman" w:hAnsi="Times New Roman" w:cs="Times New Roman"/>
          <w:b/>
          <w:bCs/>
          <w:kern w:val="0"/>
          <w:sz w:val="32"/>
          <w:szCs w:val="32"/>
          <w:lang w:eastAsia="hu-HU"/>
          <w14:ligatures w14:val="none"/>
        </w:rPr>
        <w:t>Előterjesztés mi</w:t>
      </w:r>
      <w:r w:rsidR="00380E1A" w:rsidRPr="00A00CB3">
        <w:rPr>
          <w:rFonts w:ascii="Times New Roman" w:eastAsia="Times New Roman" w:hAnsi="Times New Roman" w:cs="Times New Roman"/>
          <w:b/>
          <w:bCs/>
          <w:kern w:val="0"/>
          <w:sz w:val="32"/>
          <w:szCs w:val="32"/>
          <w:lang w:eastAsia="hu-HU"/>
          <w14:ligatures w14:val="none"/>
        </w:rPr>
        <w:t>k</w:t>
      </w:r>
      <w:r>
        <w:rPr>
          <w:rFonts w:ascii="Times New Roman" w:eastAsia="Times New Roman" w:hAnsi="Times New Roman" w:cs="Times New Roman"/>
          <w:b/>
          <w:bCs/>
          <w:kern w:val="0"/>
          <w:sz w:val="32"/>
          <w:szCs w:val="32"/>
          <w:lang w:eastAsia="hu-HU"/>
          <w14:ligatures w14:val="none"/>
        </w:rPr>
        <w:t>r</w:t>
      </w:r>
      <w:r w:rsidR="00380E1A" w:rsidRPr="00A00CB3">
        <w:rPr>
          <w:rFonts w:ascii="Times New Roman" w:eastAsia="Times New Roman" w:hAnsi="Times New Roman" w:cs="Times New Roman"/>
          <w:b/>
          <w:bCs/>
          <w:kern w:val="0"/>
          <w:sz w:val="32"/>
          <w:szCs w:val="32"/>
          <w:lang w:eastAsia="hu-HU"/>
          <w14:ligatures w14:val="none"/>
        </w:rPr>
        <w:t>otanúsítványos képzéseknek az ELTE-n való indításáról</w:t>
      </w:r>
    </w:p>
    <w:p w14:paraId="0B76A541" w14:textId="77777777" w:rsidR="00380E1A" w:rsidRDefault="00380E1A" w:rsidP="009F3794">
      <w:pPr>
        <w:spacing w:after="0" w:line="240" w:lineRule="auto"/>
        <w:rPr>
          <w:rFonts w:ascii="Times New Roman" w:eastAsia="Times New Roman" w:hAnsi="Times New Roman" w:cs="Times New Roman"/>
          <w:b/>
          <w:bCs/>
          <w:kern w:val="0"/>
          <w:sz w:val="24"/>
          <w:szCs w:val="24"/>
          <w:lang w:eastAsia="hu-HU"/>
          <w14:ligatures w14:val="none"/>
        </w:rPr>
      </w:pPr>
    </w:p>
    <w:p w14:paraId="1D171182" w14:textId="5F45158D" w:rsidR="00D90170" w:rsidRPr="00380E1A" w:rsidRDefault="00DE6101" w:rsidP="00380E1A">
      <w:pPr>
        <w:pStyle w:val="Listaszerbekezds"/>
        <w:numPr>
          <w:ilvl w:val="0"/>
          <w:numId w:val="3"/>
        </w:numPr>
        <w:spacing w:after="0" w:line="240" w:lineRule="auto"/>
        <w:rPr>
          <w:rFonts w:ascii="Times New Roman" w:eastAsia="Times New Roman" w:hAnsi="Times New Roman" w:cs="Times New Roman"/>
          <w:kern w:val="0"/>
          <w:sz w:val="24"/>
          <w:szCs w:val="24"/>
          <w:lang w:eastAsia="hu-HU"/>
          <w14:ligatures w14:val="none"/>
        </w:rPr>
      </w:pPr>
      <w:r w:rsidRPr="00380E1A">
        <w:rPr>
          <w:rFonts w:ascii="Times New Roman" w:eastAsia="Times New Roman" w:hAnsi="Times New Roman" w:cs="Times New Roman"/>
          <w:b/>
          <w:bCs/>
          <w:kern w:val="0"/>
          <w:sz w:val="24"/>
          <w:szCs w:val="24"/>
          <w:lang w:eastAsia="hu-HU"/>
          <w14:ligatures w14:val="none"/>
        </w:rPr>
        <w:t>Mi a</w:t>
      </w:r>
      <w:r w:rsidR="00D90170" w:rsidRPr="00380E1A">
        <w:rPr>
          <w:rFonts w:ascii="Times New Roman" w:eastAsia="Times New Roman" w:hAnsi="Times New Roman" w:cs="Times New Roman"/>
          <w:b/>
          <w:bCs/>
          <w:kern w:val="0"/>
          <w:sz w:val="24"/>
          <w:szCs w:val="24"/>
          <w:lang w:eastAsia="hu-HU"/>
          <w14:ligatures w14:val="none"/>
        </w:rPr>
        <w:t xml:space="preserve"> mikrotanúsítványos képzés és mi a </w:t>
      </w:r>
      <w:r w:rsidRPr="00380E1A">
        <w:rPr>
          <w:rFonts w:ascii="Times New Roman" w:eastAsia="Times New Roman" w:hAnsi="Times New Roman" w:cs="Times New Roman"/>
          <w:b/>
          <w:bCs/>
          <w:kern w:val="0"/>
          <w:sz w:val="24"/>
          <w:szCs w:val="24"/>
          <w:lang w:eastAsia="hu-HU"/>
          <w14:ligatures w14:val="none"/>
        </w:rPr>
        <w:t>mikrotanúsítvány? </w:t>
      </w:r>
    </w:p>
    <w:p w14:paraId="7BA58E06" w14:textId="77777777" w:rsidR="009F3794" w:rsidRPr="009F3794" w:rsidRDefault="009F3794" w:rsidP="009F3794">
      <w:pPr>
        <w:spacing w:after="0" w:line="240" w:lineRule="auto"/>
        <w:rPr>
          <w:rFonts w:ascii="Times New Roman" w:eastAsia="Times New Roman" w:hAnsi="Times New Roman" w:cs="Times New Roman"/>
          <w:kern w:val="0"/>
          <w:sz w:val="24"/>
          <w:szCs w:val="24"/>
          <w:lang w:eastAsia="hu-HU"/>
          <w14:ligatures w14:val="none"/>
        </w:rPr>
      </w:pPr>
    </w:p>
    <w:p w14:paraId="19075C01" w14:textId="3347F89A" w:rsidR="00D90170" w:rsidRDefault="00D90170" w:rsidP="00D90170">
      <w:pPr>
        <w:jc w:val="both"/>
        <w:rPr>
          <w:rFonts w:ascii="Times New Roman" w:hAnsi="Times New Roman" w:cs="Times New Roman"/>
          <w:sz w:val="24"/>
          <w:szCs w:val="24"/>
        </w:rPr>
      </w:pPr>
      <w:r w:rsidRPr="47201539">
        <w:rPr>
          <w:rFonts w:ascii="Times New Roman" w:hAnsi="Times New Roman" w:cs="Times New Roman"/>
          <w:sz w:val="24"/>
          <w:szCs w:val="24"/>
        </w:rPr>
        <w:t xml:space="preserve">A mikrotanúsítványos képzések az utóbbi néhány év egyik legjelentősebb oktatási újításai, amelyek rugalmasságuk, </w:t>
      </w:r>
      <w:r w:rsidRPr="47201539">
        <w:rPr>
          <w:rFonts w:ascii="Times New Roman" w:hAnsi="Times New Roman" w:cs="Times New Roman"/>
          <w:sz w:val="24"/>
          <w:szCs w:val="24"/>
          <w:u w:val="single"/>
        </w:rPr>
        <w:t>rövid ciklusú felépítésük</w:t>
      </w:r>
      <w:r w:rsidRPr="47201539">
        <w:rPr>
          <w:rFonts w:ascii="Times New Roman" w:hAnsi="Times New Roman" w:cs="Times New Roman"/>
          <w:sz w:val="24"/>
          <w:szCs w:val="24"/>
        </w:rPr>
        <w:t xml:space="preserve"> és az </w:t>
      </w:r>
      <w:r w:rsidRPr="47201539">
        <w:rPr>
          <w:rFonts w:ascii="Times New Roman" w:hAnsi="Times New Roman" w:cs="Times New Roman"/>
          <w:sz w:val="24"/>
          <w:szCs w:val="24"/>
          <w:u w:val="single"/>
        </w:rPr>
        <w:t>újonnan jelentkező igényekre való gyors reagálásuk</w:t>
      </w:r>
      <w:r w:rsidRPr="47201539">
        <w:rPr>
          <w:rFonts w:ascii="Times New Roman" w:hAnsi="Times New Roman" w:cs="Times New Roman"/>
          <w:sz w:val="24"/>
          <w:szCs w:val="24"/>
        </w:rPr>
        <w:t xml:space="preserve"> miatt hamar egyfajta alternatív vagy kiegészítő oktatási formává válhatnak. Maguk a mikrotanúsítványok</w:t>
      </w:r>
      <w:bookmarkStart w:id="0" w:name="_GoBack"/>
      <w:bookmarkEnd w:id="0"/>
      <w:r w:rsidRPr="47201539">
        <w:rPr>
          <w:rFonts w:ascii="Times New Roman" w:hAnsi="Times New Roman" w:cs="Times New Roman"/>
          <w:sz w:val="24"/>
          <w:szCs w:val="24"/>
        </w:rPr>
        <w:t xml:space="preserve"> az ilyen képzéseken megszerzett tanulási eredményeket igazolják. Hordozhatóságuk és validálhatóságuk miatt kapcsolódási utat nyithatnak további képzések</w:t>
      </w:r>
      <w:r w:rsidR="00214D9C">
        <w:rPr>
          <w:rFonts w:ascii="Times New Roman" w:hAnsi="Times New Roman" w:cs="Times New Roman"/>
          <w:sz w:val="24"/>
          <w:szCs w:val="24"/>
        </w:rPr>
        <w:t>, egyéni tanulási utak</w:t>
      </w:r>
      <w:r w:rsidRPr="47201539">
        <w:rPr>
          <w:rFonts w:ascii="Times New Roman" w:hAnsi="Times New Roman" w:cs="Times New Roman"/>
          <w:sz w:val="24"/>
          <w:szCs w:val="24"/>
        </w:rPr>
        <w:t xml:space="preserve"> irányába, színesítve az egyén képzési profilját. </w:t>
      </w:r>
    </w:p>
    <w:p w14:paraId="0EAC7129" w14:textId="103C12BF" w:rsidR="009F5875" w:rsidRDefault="008A4549" w:rsidP="00D90170">
      <w:pPr>
        <w:jc w:val="both"/>
        <w:rPr>
          <w:rFonts w:ascii="Times New Roman" w:hAnsi="Times New Roman" w:cs="Times New Roman"/>
          <w:sz w:val="24"/>
          <w:szCs w:val="24"/>
        </w:rPr>
      </w:pPr>
      <w:r>
        <w:rPr>
          <w:rFonts w:ascii="Times New Roman" w:hAnsi="Times New Roman" w:cs="Times New Roman"/>
          <w:sz w:val="24"/>
          <w:szCs w:val="24"/>
        </w:rPr>
        <w:t xml:space="preserve">A </w:t>
      </w:r>
      <w:r w:rsidR="00DE0BC1" w:rsidRPr="00501144">
        <w:rPr>
          <w:rFonts w:ascii="Times New Roman" w:eastAsia="Times New Roman" w:hAnsi="Times New Roman" w:cs="Times New Roman"/>
          <w:kern w:val="0"/>
          <w:sz w:val="24"/>
          <w:szCs w:val="24"/>
          <w:lang w:eastAsia="hu-HU"/>
          <w14:ligatures w14:val="none"/>
        </w:rPr>
        <w:t xml:space="preserve">mikrotanúsítványos képzések célja, hogy a </w:t>
      </w:r>
      <w:r w:rsidR="00D45758">
        <w:rPr>
          <w:rFonts w:ascii="Times New Roman" w:eastAsia="Times New Roman" w:hAnsi="Times New Roman" w:cs="Times New Roman"/>
          <w:kern w:val="0"/>
          <w:sz w:val="24"/>
          <w:szCs w:val="24"/>
          <w:lang w:eastAsia="hu-HU"/>
          <w14:ligatures w14:val="none"/>
        </w:rPr>
        <w:t>képzés hallgatóit</w:t>
      </w:r>
      <w:r w:rsidR="00DE0BC1" w:rsidRPr="00501144">
        <w:rPr>
          <w:rFonts w:ascii="Times New Roman" w:eastAsia="Times New Roman" w:hAnsi="Times New Roman" w:cs="Times New Roman"/>
          <w:kern w:val="0"/>
          <w:sz w:val="24"/>
          <w:szCs w:val="24"/>
          <w:lang w:eastAsia="hu-HU"/>
          <w14:ligatures w14:val="none"/>
        </w:rPr>
        <w:t xml:space="preserve"> olyan speciális ismeretekkel, készségekkel és kompetenciákkal ruházzák fel, amelyek megfelelnek a </w:t>
      </w:r>
      <w:r w:rsidR="00DE0BC1" w:rsidRPr="009E2D48">
        <w:rPr>
          <w:rFonts w:ascii="Times New Roman" w:eastAsia="Times New Roman" w:hAnsi="Times New Roman" w:cs="Times New Roman"/>
          <w:kern w:val="0"/>
          <w:sz w:val="24"/>
          <w:szCs w:val="24"/>
          <w:u w:val="single"/>
          <w:lang w:eastAsia="hu-HU"/>
          <w14:ligatures w14:val="none"/>
        </w:rPr>
        <w:t>társadalmi, személyes</w:t>
      </w:r>
      <w:r w:rsidR="00DE0BC1" w:rsidRPr="00501144">
        <w:rPr>
          <w:rFonts w:ascii="Times New Roman" w:eastAsia="Times New Roman" w:hAnsi="Times New Roman" w:cs="Times New Roman"/>
          <w:kern w:val="0"/>
          <w:sz w:val="24"/>
          <w:szCs w:val="24"/>
          <w:lang w:eastAsia="hu-HU"/>
          <w14:ligatures w14:val="none"/>
        </w:rPr>
        <w:t xml:space="preserve"> vagy </w:t>
      </w:r>
      <w:r w:rsidR="00DE0BC1" w:rsidRPr="009E2D48">
        <w:rPr>
          <w:rFonts w:ascii="Times New Roman" w:eastAsia="Times New Roman" w:hAnsi="Times New Roman" w:cs="Times New Roman"/>
          <w:kern w:val="0"/>
          <w:sz w:val="24"/>
          <w:szCs w:val="24"/>
          <w:u w:val="single"/>
          <w:lang w:eastAsia="hu-HU"/>
          <w14:ligatures w14:val="none"/>
        </w:rPr>
        <w:t>munkaerőpiaci igényeknek</w:t>
      </w:r>
      <w:r w:rsidR="00DE0BC1" w:rsidRPr="00501144">
        <w:rPr>
          <w:rFonts w:ascii="Times New Roman" w:eastAsia="Times New Roman" w:hAnsi="Times New Roman" w:cs="Times New Roman"/>
          <w:kern w:val="0"/>
          <w:sz w:val="24"/>
          <w:szCs w:val="24"/>
          <w:lang w:eastAsia="hu-HU"/>
          <w14:ligatures w14:val="none"/>
        </w:rPr>
        <w:t xml:space="preserve">, </w:t>
      </w:r>
      <w:r w:rsidR="00D45758">
        <w:rPr>
          <w:rFonts w:ascii="Times New Roman" w:eastAsia="Times New Roman" w:hAnsi="Times New Roman" w:cs="Times New Roman"/>
          <w:kern w:val="0"/>
          <w:sz w:val="24"/>
          <w:szCs w:val="24"/>
          <w:lang w:eastAsia="hu-HU"/>
          <w14:ligatures w14:val="none"/>
        </w:rPr>
        <w:t>i</w:t>
      </w:r>
      <w:r w:rsidR="000A4C8D">
        <w:rPr>
          <w:rFonts w:ascii="Times New Roman" w:eastAsia="Times New Roman" w:hAnsi="Times New Roman" w:cs="Times New Roman"/>
          <w:kern w:val="0"/>
          <w:sz w:val="24"/>
          <w:szCs w:val="24"/>
          <w:lang w:eastAsia="hu-HU"/>
          <w14:ligatures w14:val="none"/>
        </w:rPr>
        <w:t>l</w:t>
      </w:r>
      <w:r w:rsidR="00D45758">
        <w:rPr>
          <w:rFonts w:ascii="Times New Roman" w:eastAsia="Times New Roman" w:hAnsi="Times New Roman" w:cs="Times New Roman"/>
          <w:kern w:val="0"/>
          <w:sz w:val="24"/>
          <w:szCs w:val="24"/>
          <w:lang w:eastAsia="hu-HU"/>
          <w14:ligatures w14:val="none"/>
        </w:rPr>
        <w:t>letve</w:t>
      </w:r>
      <w:r w:rsidR="00DE0BC1" w:rsidRPr="00501144">
        <w:rPr>
          <w:rFonts w:ascii="Times New Roman" w:eastAsia="Times New Roman" w:hAnsi="Times New Roman" w:cs="Times New Roman"/>
          <w:kern w:val="0"/>
          <w:sz w:val="24"/>
          <w:szCs w:val="24"/>
          <w:lang w:eastAsia="hu-HU"/>
          <w14:ligatures w14:val="none"/>
        </w:rPr>
        <w:t xml:space="preserve"> azokra reagálnak.</w:t>
      </w:r>
    </w:p>
    <w:p w14:paraId="4A61598B" w14:textId="448F3683" w:rsidR="00D90170" w:rsidRDefault="00D90170" w:rsidP="00D90170">
      <w:pPr>
        <w:jc w:val="both"/>
        <w:rPr>
          <w:rFonts w:ascii="Times New Roman" w:hAnsi="Times New Roman" w:cs="Times New Roman"/>
          <w:sz w:val="24"/>
          <w:szCs w:val="24"/>
        </w:rPr>
      </w:pPr>
      <w:r>
        <w:rPr>
          <w:rFonts w:ascii="Times New Roman" w:hAnsi="Times New Roman" w:cs="Times New Roman"/>
          <w:sz w:val="24"/>
          <w:szCs w:val="24"/>
        </w:rPr>
        <w:t xml:space="preserve">A mikrotanústványok általánosan elfogadott jellemzőit a nemzetközi és uniós példák és dokumentumok alapján a következőkben lehet megragadni. </w:t>
      </w:r>
    </w:p>
    <w:p w14:paraId="13B518C5" w14:textId="77777777" w:rsidR="00D90170" w:rsidRPr="005A3096" w:rsidRDefault="00D90170" w:rsidP="00D90170">
      <w:pPr>
        <w:pStyle w:val="Listaszerbekezds"/>
        <w:numPr>
          <w:ilvl w:val="0"/>
          <w:numId w:val="2"/>
        </w:numPr>
        <w:spacing w:line="259" w:lineRule="auto"/>
        <w:jc w:val="both"/>
        <w:rPr>
          <w:rFonts w:ascii="Times New Roman" w:hAnsi="Times New Roman" w:cs="Times New Roman"/>
          <w:b/>
          <w:bCs/>
          <w:sz w:val="24"/>
          <w:szCs w:val="24"/>
        </w:rPr>
      </w:pPr>
      <w:r w:rsidRPr="47201539">
        <w:rPr>
          <w:rFonts w:ascii="Times New Roman" w:hAnsi="Times New Roman" w:cs="Times New Roman"/>
          <w:b/>
          <w:bCs/>
          <w:sz w:val="24"/>
          <w:szCs w:val="24"/>
        </w:rPr>
        <w:t>gyorsan és rugalmasan tudnak reagálni pillanatnyi igényekre, amelyekre adott esetben a munkaerőpiacnak, a társadalomnak, tudományos közösségeknek és egyéb körülhatárolható csoportnak, egyénnek szüksége van.</w:t>
      </w:r>
    </w:p>
    <w:p w14:paraId="2583E6EE" w14:textId="77777777" w:rsidR="00D90170" w:rsidRPr="005A3096" w:rsidRDefault="00D90170" w:rsidP="00D90170">
      <w:pPr>
        <w:jc w:val="both"/>
        <w:rPr>
          <w:rFonts w:ascii="Times New Roman" w:hAnsi="Times New Roman" w:cs="Times New Roman"/>
          <w:sz w:val="24"/>
          <w:szCs w:val="24"/>
        </w:rPr>
      </w:pPr>
      <w:r w:rsidRPr="005A3096">
        <w:rPr>
          <w:rFonts w:ascii="Times New Roman" w:hAnsi="Times New Roman" w:cs="Times New Roman"/>
          <w:sz w:val="24"/>
          <w:szCs w:val="24"/>
        </w:rPr>
        <w:t xml:space="preserve">A mikrotanúsítványok, előnye hogy nagyon gyorsan tudnak igazodni azokhoz az új igényekhez, amelyek új készségek, képességek vagy tudás elsajátítását várják el, adott esetben olyan kompetenciákét, amelyek még nem elérhetőek az oktatási kínálatban hosszabb ciklusú képzés részeként vagy amelyek esetében nincs szükség a hosszabb képzésbe ágyazottságra vagy az nem értelmes, mivel a tanulási eredmények leválaszthatóak, önállóan is kikínálhatóak, sőt adott esetben gyors elsajátításuk a kifejezett cél. </w:t>
      </w:r>
    </w:p>
    <w:p w14:paraId="503EF620" w14:textId="77777777" w:rsidR="00D90170" w:rsidRPr="005A3096" w:rsidRDefault="00D90170" w:rsidP="00D90170">
      <w:pPr>
        <w:jc w:val="both"/>
        <w:rPr>
          <w:rFonts w:ascii="Times New Roman" w:hAnsi="Times New Roman" w:cs="Times New Roman"/>
          <w:sz w:val="24"/>
          <w:szCs w:val="24"/>
        </w:rPr>
      </w:pPr>
      <w:r w:rsidRPr="005A3096">
        <w:rPr>
          <w:rFonts w:ascii="Times New Roman" w:hAnsi="Times New Roman" w:cs="Times New Roman"/>
          <w:sz w:val="24"/>
          <w:szCs w:val="24"/>
        </w:rPr>
        <w:t xml:space="preserve">A mikrotanúsítványos képzések ezért egyrészről külső partnerek (az ún. stakeholderek), másrészről a felsőoktatás vagy a szakképzés szorosabb együttműködésében, egymás igényeit kielégítve tudnak jól megvalósulni.   </w:t>
      </w:r>
    </w:p>
    <w:p w14:paraId="1A751646" w14:textId="77777777" w:rsidR="00D90170" w:rsidRPr="003549D7" w:rsidRDefault="00D90170" w:rsidP="00D90170">
      <w:pPr>
        <w:pStyle w:val="Listaszerbekezds"/>
        <w:numPr>
          <w:ilvl w:val="0"/>
          <w:numId w:val="2"/>
        </w:numPr>
        <w:spacing w:line="259" w:lineRule="auto"/>
        <w:rPr>
          <w:rFonts w:ascii="Times New Roman" w:hAnsi="Times New Roman" w:cs="Times New Roman"/>
          <w:b/>
          <w:bCs/>
          <w:sz w:val="24"/>
          <w:szCs w:val="24"/>
        </w:rPr>
      </w:pPr>
      <w:r w:rsidRPr="003549D7">
        <w:rPr>
          <w:rFonts w:ascii="Times New Roman" w:hAnsi="Times New Roman" w:cs="Times New Roman"/>
          <w:b/>
          <w:bCs/>
          <w:sz w:val="24"/>
          <w:szCs w:val="24"/>
        </w:rPr>
        <w:t>egyéni szükségleteket elégítenek ki, egyéni karrierutakat nyitnak;</w:t>
      </w:r>
    </w:p>
    <w:p w14:paraId="43D87698" w14:textId="3E923732" w:rsidR="00114FFD" w:rsidRDefault="00EE5756" w:rsidP="00DF6D2C">
      <w:pPr>
        <w:jc w:val="both"/>
        <w:rPr>
          <w:rFonts w:ascii="Times New Roman" w:hAnsi="Times New Roman" w:cs="Times New Roman"/>
          <w:sz w:val="24"/>
          <w:szCs w:val="24"/>
        </w:rPr>
      </w:pPr>
      <w:r w:rsidRPr="47201539">
        <w:rPr>
          <w:rFonts w:ascii="Times New Roman" w:hAnsi="Times New Roman" w:cs="Times New Roman"/>
          <w:sz w:val="24"/>
          <w:szCs w:val="24"/>
        </w:rPr>
        <w:t>A mikrotanúsítványos képzések az élethosszig tartó tanulás újtípusú formá</w:t>
      </w:r>
      <w:r w:rsidR="00015E6E" w:rsidRPr="47201539">
        <w:rPr>
          <w:rFonts w:ascii="Times New Roman" w:hAnsi="Times New Roman" w:cs="Times New Roman"/>
          <w:sz w:val="24"/>
          <w:szCs w:val="24"/>
        </w:rPr>
        <w:t>ját jelentik</w:t>
      </w:r>
      <w:r w:rsidR="009F5A39" w:rsidRPr="47201539">
        <w:rPr>
          <w:rFonts w:ascii="Times New Roman" w:hAnsi="Times New Roman" w:cs="Times New Roman"/>
          <w:sz w:val="24"/>
          <w:szCs w:val="24"/>
        </w:rPr>
        <w:t>, mivel képesek</w:t>
      </w:r>
      <w:r w:rsidR="0062461C" w:rsidRPr="47201539">
        <w:rPr>
          <w:rFonts w:ascii="Times New Roman" w:hAnsi="Times New Roman" w:cs="Times New Roman"/>
          <w:sz w:val="24"/>
          <w:szCs w:val="24"/>
        </w:rPr>
        <w:t xml:space="preserve"> újonnan jelentkező </w:t>
      </w:r>
      <w:r w:rsidR="00F50DCA" w:rsidRPr="47201539">
        <w:rPr>
          <w:rFonts w:ascii="Times New Roman" w:hAnsi="Times New Roman" w:cs="Times New Roman"/>
          <w:sz w:val="24"/>
          <w:szCs w:val="24"/>
        </w:rPr>
        <w:t>munkaerőpiaci, társadalmi vagy személye</w:t>
      </w:r>
      <w:r w:rsidR="78A3FB10" w:rsidRPr="47201539">
        <w:rPr>
          <w:rFonts w:ascii="Times New Roman" w:hAnsi="Times New Roman" w:cs="Times New Roman"/>
          <w:sz w:val="24"/>
          <w:szCs w:val="24"/>
        </w:rPr>
        <w:t>s</w:t>
      </w:r>
      <w:r w:rsidR="00F50DCA" w:rsidRPr="47201539">
        <w:rPr>
          <w:rFonts w:ascii="Times New Roman" w:hAnsi="Times New Roman" w:cs="Times New Roman"/>
          <w:sz w:val="24"/>
          <w:szCs w:val="24"/>
        </w:rPr>
        <w:t xml:space="preserve"> fejlődési </w:t>
      </w:r>
      <w:r w:rsidR="0062461C" w:rsidRPr="47201539">
        <w:rPr>
          <w:rFonts w:ascii="Times New Roman" w:hAnsi="Times New Roman" w:cs="Times New Roman"/>
          <w:sz w:val="24"/>
          <w:szCs w:val="24"/>
        </w:rPr>
        <w:t xml:space="preserve">igények </w:t>
      </w:r>
      <w:r w:rsidR="00D93B87" w:rsidRPr="47201539">
        <w:rPr>
          <w:rFonts w:ascii="Times New Roman" w:hAnsi="Times New Roman" w:cs="Times New Roman"/>
          <w:sz w:val="24"/>
          <w:szCs w:val="24"/>
        </w:rPr>
        <w:t xml:space="preserve">gyors </w:t>
      </w:r>
      <w:r w:rsidR="0062461C" w:rsidRPr="47201539">
        <w:rPr>
          <w:rFonts w:ascii="Times New Roman" w:hAnsi="Times New Roman" w:cs="Times New Roman"/>
          <w:sz w:val="24"/>
          <w:szCs w:val="24"/>
        </w:rPr>
        <w:t>kielégítésére</w:t>
      </w:r>
      <w:r w:rsidR="00D93B87" w:rsidRPr="47201539">
        <w:rPr>
          <w:rFonts w:ascii="Times New Roman" w:hAnsi="Times New Roman" w:cs="Times New Roman"/>
          <w:sz w:val="24"/>
          <w:szCs w:val="24"/>
        </w:rPr>
        <w:t>.</w:t>
      </w:r>
      <w:r w:rsidR="00015E6E" w:rsidRPr="47201539">
        <w:rPr>
          <w:rFonts w:ascii="Times New Roman" w:hAnsi="Times New Roman" w:cs="Times New Roman"/>
          <w:sz w:val="24"/>
          <w:szCs w:val="24"/>
        </w:rPr>
        <w:t xml:space="preserve"> </w:t>
      </w:r>
      <w:r w:rsidR="00E3661B" w:rsidRPr="47201539">
        <w:rPr>
          <w:rFonts w:ascii="Times New Roman" w:hAnsi="Times New Roman" w:cs="Times New Roman"/>
          <w:sz w:val="24"/>
          <w:szCs w:val="24"/>
        </w:rPr>
        <w:t xml:space="preserve">Meghatározó jelentőségük van </w:t>
      </w:r>
      <w:r w:rsidR="00D93B87" w:rsidRPr="47201539">
        <w:rPr>
          <w:rFonts w:ascii="Times New Roman" w:hAnsi="Times New Roman" w:cs="Times New Roman"/>
          <w:sz w:val="24"/>
          <w:szCs w:val="24"/>
        </w:rPr>
        <w:t xml:space="preserve">ezért </w:t>
      </w:r>
      <w:r w:rsidR="00D63A74" w:rsidRPr="47201539">
        <w:rPr>
          <w:rFonts w:ascii="Times New Roman" w:hAnsi="Times New Roman" w:cs="Times New Roman"/>
          <w:sz w:val="24"/>
          <w:szCs w:val="24"/>
        </w:rPr>
        <w:t>azo</w:t>
      </w:r>
      <w:r w:rsidR="00AB4056" w:rsidRPr="47201539">
        <w:rPr>
          <w:rFonts w:ascii="Times New Roman" w:hAnsi="Times New Roman" w:cs="Times New Roman"/>
          <w:sz w:val="24"/>
          <w:szCs w:val="24"/>
        </w:rPr>
        <w:t>n diplomások</w:t>
      </w:r>
      <w:r w:rsidR="00D63A74" w:rsidRPr="47201539">
        <w:rPr>
          <w:rFonts w:ascii="Times New Roman" w:hAnsi="Times New Roman" w:cs="Times New Roman"/>
          <w:sz w:val="24"/>
          <w:szCs w:val="24"/>
        </w:rPr>
        <w:t xml:space="preserve"> számára, akik </w:t>
      </w:r>
      <w:r w:rsidR="00AB4056" w:rsidRPr="47201539">
        <w:rPr>
          <w:rFonts w:ascii="Times New Roman" w:hAnsi="Times New Roman" w:cs="Times New Roman"/>
          <w:sz w:val="24"/>
          <w:szCs w:val="24"/>
        </w:rPr>
        <w:t>mintegy fel kívánják frissíteni tudásukat</w:t>
      </w:r>
      <w:r w:rsidR="00AE7FBA" w:rsidRPr="47201539">
        <w:rPr>
          <w:rFonts w:ascii="Times New Roman" w:hAnsi="Times New Roman" w:cs="Times New Roman"/>
          <w:sz w:val="24"/>
          <w:szCs w:val="24"/>
        </w:rPr>
        <w:t xml:space="preserve"> olyan új ismeretekkel, amelyet tanulmányaik idején még nem volt lehetőségük elsajátítani</w:t>
      </w:r>
      <w:r w:rsidR="00080741" w:rsidRPr="47201539">
        <w:rPr>
          <w:rFonts w:ascii="Times New Roman" w:hAnsi="Times New Roman" w:cs="Times New Roman"/>
          <w:sz w:val="24"/>
          <w:szCs w:val="24"/>
        </w:rPr>
        <w:t>, de szakmai munkájukhoz elengedhetetlen számukra az új ismeretek megszerzése.</w:t>
      </w:r>
    </w:p>
    <w:p w14:paraId="7CD10EF3" w14:textId="49DCEAAC" w:rsidR="00D93B87" w:rsidRDefault="00D93B87" w:rsidP="00DF6D2C">
      <w:pPr>
        <w:jc w:val="both"/>
        <w:rPr>
          <w:rFonts w:ascii="Times New Roman" w:hAnsi="Times New Roman" w:cs="Times New Roman"/>
          <w:sz w:val="24"/>
          <w:szCs w:val="24"/>
        </w:rPr>
      </w:pPr>
      <w:r w:rsidRPr="47201539">
        <w:rPr>
          <w:rFonts w:ascii="Times New Roman" w:hAnsi="Times New Roman" w:cs="Times New Roman"/>
          <w:sz w:val="24"/>
          <w:szCs w:val="24"/>
        </w:rPr>
        <w:t>A mikrotanúsítványos képzések vonzó alternatívát nyújthatnak a tanulásra azoknak, akik nem kívánnak vagy nem tudnak egy hosszabb ciklusú BA vagy MA képzésre beiratkozni, adott esetben ezek helyett inkább egy vagy több, kisebb képzésen kívánják megszerezni az őket érdeklő készségeket, képességeket vagy ezek mellé további célzott tudásokat/képességeket szeretnének megszerezni. Ezek a hallgatók nem feltétlenül jutnak diplomához, de mikrotanúsítványaikból fel tudnak építeni egy olyan kompetencia palettát, ami akár vonzóbb lehet a munkaadók számára, mint egy diploma.</w:t>
      </w:r>
    </w:p>
    <w:p w14:paraId="7FB32436" w14:textId="48766FF2" w:rsidR="003F2E94" w:rsidRPr="005A3096" w:rsidRDefault="00114FFD" w:rsidP="00DF6D2C">
      <w:pPr>
        <w:jc w:val="both"/>
        <w:rPr>
          <w:rFonts w:ascii="Times New Roman" w:hAnsi="Times New Roman" w:cs="Times New Roman"/>
          <w:sz w:val="24"/>
          <w:szCs w:val="24"/>
        </w:rPr>
      </w:pPr>
      <w:r>
        <w:rPr>
          <w:rFonts w:ascii="Times New Roman" w:hAnsi="Times New Roman" w:cs="Times New Roman"/>
          <w:sz w:val="24"/>
          <w:szCs w:val="24"/>
        </w:rPr>
        <w:lastRenderedPageBreak/>
        <w:t>Nem tipikus, de lehetséges továbbá mikrotanúsítványt adni</w:t>
      </w:r>
      <w:r w:rsidR="0077323C">
        <w:rPr>
          <w:rFonts w:ascii="Times New Roman" w:hAnsi="Times New Roman" w:cs="Times New Roman"/>
          <w:sz w:val="24"/>
          <w:szCs w:val="24"/>
        </w:rPr>
        <w:t xml:space="preserve">a a felsőoktatási intézmény saját hallgatóinak </w:t>
      </w:r>
      <w:r w:rsidR="0020744F">
        <w:rPr>
          <w:rFonts w:ascii="Times New Roman" w:hAnsi="Times New Roman" w:cs="Times New Roman"/>
          <w:sz w:val="24"/>
          <w:szCs w:val="24"/>
        </w:rPr>
        <w:t xml:space="preserve">önálló, piacképes tanulási eredmények igazolására, amelyek vagy nem részei a hagyományos curriculumnak és egyfajta </w:t>
      </w:r>
      <w:r w:rsidR="00A4178C">
        <w:rPr>
          <w:rFonts w:ascii="Times New Roman" w:hAnsi="Times New Roman" w:cs="Times New Roman"/>
          <w:sz w:val="24"/>
          <w:szCs w:val="24"/>
        </w:rPr>
        <w:t xml:space="preserve">addicionális ismeretként jelennek meg vagy a diploma megszerzését megelőzően </w:t>
      </w:r>
      <w:r w:rsidR="00CE256D">
        <w:rPr>
          <w:rFonts w:ascii="Times New Roman" w:hAnsi="Times New Roman" w:cs="Times New Roman"/>
          <w:sz w:val="24"/>
          <w:szCs w:val="24"/>
        </w:rPr>
        <w:t>már hasznát tudják venni az igazolásnak a munkaerő</w:t>
      </w:r>
      <w:r w:rsidR="00FB1E78">
        <w:rPr>
          <w:rFonts w:ascii="Times New Roman" w:hAnsi="Times New Roman" w:cs="Times New Roman"/>
          <w:sz w:val="24"/>
          <w:szCs w:val="24"/>
        </w:rPr>
        <w:t xml:space="preserve"> piacon.</w:t>
      </w:r>
      <w:r w:rsidR="00E3661B">
        <w:rPr>
          <w:rFonts w:ascii="Times New Roman" w:hAnsi="Times New Roman" w:cs="Times New Roman"/>
          <w:sz w:val="24"/>
          <w:szCs w:val="24"/>
        </w:rPr>
        <w:t xml:space="preserve"> </w:t>
      </w:r>
    </w:p>
    <w:p w14:paraId="0715F2DE" w14:textId="77777777" w:rsidR="00D90170" w:rsidRPr="007C6F47" w:rsidRDefault="00D90170" w:rsidP="00D90170">
      <w:pPr>
        <w:pStyle w:val="Listaszerbekezds"/>
        <w:numPr>
          <w:ilvl w:val="0"/>
          <w:numId w:val="2"/>
        </w:numPr>
        <w:spacing w:line="259" w:lineRule="auto"/>
        <w:rPr>
          <w:rFonts w:ascii="Times New Roman" w:hAnsi="Times New Roman" w:cs="Times New Roman"/>
          <w:b/>
          <w:bCs/>
          <w:sz w:val="24"/>
          <w:szCs w:val="24"/>
        </w:rPr>
      </w:pPr>
      <w:r w:rsidRPr="47201539">
        <w:rPr>
          <w:rFonts w:ascii="Times New Roman" w:hAnsi="Times New Roman" w:cs="Times New Roman"/>
          <w:b/>
          <w:bCs/>
          <w:sz w:val="24"/>
          <w:szCs w:val="24"/>
        </w:rPr>
        <w:t xml:space="preserve">teljeskörű kompetenciák, azaz a tudásszerzés mellett a képességek fejlődését és attitűdformálást is céloznak, azok megtörténtét igazolják; </w:t>
      </w:r>
    </w:p>
    <w:p w14:paraId="6C603841" w14:textId="0BF195B4" w:rsidR="00D14D04" w:rsidRPr="00F40CCA" w:rsidRDefault="00D90170" w:rsidP="00D90170">
      <w:pPr>
        <w:jc w:val="both"/>
        <w:rPr>
          <w:rFonts w:ascii="Times New Roman" w:hAnsi="Times New Roman" w:cs="Times New Roman"/>
          <w:sz w:val="24"/>
          <w:szCs w:val="24"/>
        </w:rPr>
      </w:pPr>
      <w:r w:rsidRPr="47201539">
        <w:rPr>
          <w:rFonts w:ascii="Times New Roman" w:hAnsi="Times New Roman" w:cs="Times New Roman"/>
          <w:sz w:val="24"/>
          <w:szCs w:val="24"/>
        </w:rPr>
        <w:t>A mikrotanúsítványok nem tantárgyak elvégzését, hanem tanulási eredmények segítségével meghatározott kompetenciák megszerzését igazolják. Ilyen szempontból különböznek egy egyszerű kreditigazolástól. Ez jelentős különbség, hiszen a tanulási eredmény annak a paradigmaváltásnak a kulcsfogalma, amely a tananyag előtérbe állítása helyett a kimenet, azaz a tanulási célok elérése felől közelíti meg az eredményt, a tanulás és tanítás folyamatát, tartalmát. A tanulási eredményként megfogalmazott tudáshoz, képességekhez azonnak a működésére ható nézetrendszer, attitűd, önállóság, valamint konkrét tanulási vagy munka szituációkban mindezek mozgósításával járó autonómia és a felelősségvállalás minősége is hozzátartozik. A szemléletváltás meghatározó abból a szempontból is, hogy ezt a megközelítés jobban értik a külső partnerek, a kompetenciák felhasználói is: a munkáltatók legtöbbször meghatározott kompetenciák meglétét kívánják viszont látni.</w:t>
      </w:r>
    </w:p>
    <w:p w14:paraId="20542D78" w14:textId="08285AB6" w:rsidR="00D90170" w:rsidRDefault="00D90170" w:rsidP="00D90170">
      <w:pPr>
        <w:jc w:val="both"/>
        <w:rPr>
          <w:rFonts w:ascii="Times New Roman" w:hAnsi="Times New Roman" w:cs="Times New Roman"/>
          <w:sz w:val="24"/>
          <w:szCs w:val="24"/>
        </w:rPr>
      </w:pPr>
      <w:r w:rsidRPr="47201539">
        <w:rPr>
          <w:rFonts w:ascii="Times New Roman" w:hAnsi="Times New Roman" w:cs="Times New Roman"/>
          <w:sz w:val="24"/>
          <w:szCs w:val="24"/>
        </w:rPr>
        <w:t>A mikrotanúsítvány</w:t>
      </w:r>
      <w:r w:rsidR="00F06446" w:rsidRPr="47201539">
        <w:rPr>
          <w:rFonts w:ascii="Times New Roman" w:hAnsi="Times New Roman" w:cs="Times New Roman"/>
          <w:sz w:val="24"/>
          <w:szCs w:val="24"/>
        </w:rPr>
        <w:t xml:space="preserve"> tehát</w:t>
      </w:r>
      <w:r w:rsidRPr="47201539">
        <w:rPr>
          <w:rFonts w:ascii="Times New Roman" w:hAnsi="Times New Roman" w:cs="Times New Roman"/>
          <w:sz w:val="24"/>
          <w:szCs w:val="24"/>
        </w:rPr>
        <w:t xml:space="preserve"> nem </w:t>
      </w:r>
      <w:r w:rsidR="00F06446" w:rsidRPr="47201539">
        <w:rPr>
          <w:rFonts w:ascii="Times New Roman" w:hAnsi="Times New Roman" w:cs="Times New Roman"/>
          <w:sz w:val="24"/>
          <w:szCs w:val="24"/>
        </w:rPr>
        <w:t xml:space="preserve">a </w:t>
      </w:r>
      <w:r w:rsidRPr="47201539">
        <w:rPr>
          <w:rFonts w:ascii="Times New Roman" w:hAnsi="Times New Roman" w:cs="Times New Roman"/>
          <w:sz w:val="24"/>
          <w:szCs w:val="24"/>
        </w:rPr>
        <w:t xml:space="preserve">“részvételről” </w:t>
      </w:r>
      <w:r w:rsidR="00F06446" w:rsidRPr="47201539">
        <w:rPr>
          <w:rFonts w:ascii="Times New Roman" w:hAnsi="Times New Roman" w:cs="Times New Roman"/>
          <w:sz w:val="24"/>
          <w:szCs w:val="24"/>
        </w:rPr>
        <w:t>nyújt</w:t>
      </w:r>
      <w:r w:rsidRPr="47201539">
        <w:rPr>
          <w:rFonts w:ascii="Times New Roman" w:hAnsi="Times New Roman" w:cs="Times New Roman"/>
          <w:sz w:val="24"/>
          <w:szCs w:val="24"/>
        </w:rPr>
        <w:t xml:space="preserve"> igazolást a tanúsító, hanem arról, hogy értékelés segítségével meg is bizonyosodott </w:t>
      </w:r>
      <w:r w:rsidR="00F06446" w:rsidRPr="47201539">
        <w:rPr>
          <w:rFonts w:ascii="Times New Roman" w:hAnsi="Times New Roman" w:cs="Times New Roman"/>
          <w:sz w:val="24"/>
          <w:szCs w:val="24"/>
        </w:rPr>
        <w:t xml:space="preserve">a kibocsátó </w:t>
      </w:r>
      <w:r w:rsidRPr="47201539">
        <w:rPr>
          <w:rFonts w:ascii="Times New Roman" w:hAnsi="Times New Roman" w:cs="Times New Roman"/>
          <w:sz w:val="24"/>
          <w:szCs w:val="24"/>
        </w:rPr>
        <w:t>arról, hogy a résztvevő elérte a célul tűzött tanulási eredményeket.  Fontos kritérium továbbá, hogy ezeknek a tanulási eredményeknek az értékelése előre meghatározott szempontok mentén történik.</w:t>
      </w:r>
      <w:r w:rsidR="00E82109">
        <w:rPr>
          <w:rFonts w:ascii="Times New Roman" w:hAnsi="Times New Roman" w:cs="Times New Roman"/>
          <w:sz w:val="24"/>
          <w:szCs w:val="24"/>
        </w:rPr>
        <w:t xml:space="preserve"> Az igazolt tanulási eredmények szintezhetőek.</w:t>
      </w:r>
    </w:p>
    <w:p w14:paraId="586127D7" w14:textId="77777777" w:rsidR="00D90170" w:rsidRPr="00EA11EB" w:rsidRDefault="00D90170" w:rsidP="00D90170">
      <w:pPr>
        <w:pStyle w:val="Listaszerbekezds"/>
        <w:numPr>
          <w:ilvl w:val="0"/>
          <w:numId w:val="2"/>
        </w:numPr>
        <w:spacing w:line="259" w:lineRule="auto"/>
        <w:jc w:val="both"/>
        <w:rPr>
          <w:rFonts w:ascii="Times New Roman" w:hAnsi="Times New Roman" w:cs="Times New Roman"/>
          <w:b/>
          <w:bCs/>
          <w:sz w:val="24"/>
          <w:szCs w:val="24"/>
        </w:rPr>
      </w:pPr>
      <w:r w:rsidRPr="00EA11EB">
        <w:rPr>
          <w:rFonts w:ascii="Times New Roman" w:hAnsi="Times New Roman" w:cs="Times New Roman"/>
          <w:b/>
          <w:bCs/>
          <w:sz w:val="24"/>
          <w:szCs w:val="24"/>
        </w:rPr>
        <w:t>hordozhatóak;</w:t>
      </w:r>
    </w:p>
    <w:p w14:paraId="22423561" w14:textId="281BFC10" w:rsidR="00D90170" w:rsidRPr="007C6F47" w:rsidRDefault="00D90170" w:rsidP="00D90170">
      <w:pPr>
        <w:jc w:val="both"/>
        <w:rPr>
          <w:rFonts w:ascii="Times New Roman" w:hAnsi="Times New Roman" w:cs="Times New Roman"/>
          <w:sz w:val="24"/>
          <w:szCs w:val="24"/>
        </w:rPr>
      </w:pPr>
      <w:r w:rsidRPr="47201539">
        <w:rPr>
          <w:rFonts w:ascii="Times New Roman" w:hAnsi="Times New Roman" w:cs="Times New Roman"/>
          <w:sz w:val="24"/>
          <w:szCs w:val="24"/>
        </w:rPr>
        <w:t>A mikrotanúsítvány birtokosa képes az általa választott rendszerben tárolni a mikrotanúsítványát és azt meg tudja osztani bárkivel, akivel szeretné, nemzeti és nemzetközi viszonylatban is. A megosztásban részt vevő valamennyi fél megismerheti a tanúsítvány tartalmát és képes lesz ellenőrizni annak hitelességét</w:t>
      </w:r>
      <w:r w:rsidR="002727D4">
        <w:rPr>
          <w:rFonts w:ascii="Times New Roman" w:hAnsi="Times New Roman" w:cs="Times New Roman"/>
          <w:sz w:val="24"/>
          <w:szCs w:val="24"/>
        </w:rPr>
        <w:t xml:space="preserve"> és lehetővé teszi gyakorlatilag végtelen számú hiteles másolat e</w:t>
      </w:r>
      <w:r w:rsidR="009D5F09">
        <w:rPr>
          <w:rFonts w:ascii="Times New Roman" w:hAnsi="Times New Roman" w:cs="Times New Roman"/>
          <w:sz w:val="24"/>
          <w:szCs w:val="24"/>
        </w:rPr>
        <w:t>lőűllítását</w:t>
      </w:r>
      <w:r w:rsidRPr="47201539">
        <w:rPr>
          <w:rFonts w:ascii="Times New Roman" w:hAnsi="Times New Roman" w:cs="Times New Roman"/>
          <w:sz w:val="24"/>
          <w:szCs w:val="24"/>
        </w:rPr>
        <w:t>. Ez teszi lehetővé az oktatási és képzési ágazatok közötti és azokon belüli, a munkaerőpiacon belüli, valamint az országok közötti hordozhatóságot. A hordozhatóság érdekében a mikrotanúsítványok esetében kívánatos a digitális formában való tárolás.</w:t>
      </w:r>
    </w:p>
    <w:p w14:paraId="61068EA5" w14:textId="7E779BBD" w:rsidR="00D90170" w:rsidRDefault="00D90170" w:rsidP="00D90170">
      <w:pPr>
        <w:pStyle w:val="Listaszerbekezds"/>
        <w:numPr>
          <w:ilvl w:val="0"/>
          <w:numId w:val="2"/>
        </w:numPr>
        <w:spacing w:line="259" w:lineRule="auto"/>
        <w:jc w:val="both"/>
        <w:rPr>
          <w:rFonts w:ascii="Times New Roman" w:hAnsi="Times New Roman" w:cs="Times New Roman"/>
          <w:b/>
          <w:bCs/>
          <w:sz w:val="24"/>
          <w:szCs w:val="24"/>
        </w:rPr>
      </w:pPr>
      <w:r w:rsidRPr="00EA11EB">
        <w:rPr>
          <w:rFonts w:ascii="Times New Roman" w:hAnsi="Times New Roman" w:cs="Times New Roman"/>
          <w:b/>
          <w:bCs/>
          <w:sz w:val="24"/>
          <w:szCs w:val="24"/>
        </w:rPr>
        <w:t>külső (akkreditált) és belső (intézményi) minőségbiztosítottak</w:t>
      </w:r>
      <w:r w:rsidR="00380E1A">
        <w:rPr>
          <w:rFonts w:ascii="Times New Roman" w:hAnsi="Times New Roman" w:cs="Times New Roman"/>
          <w:b/>
          <w:bCs/>
          <w:sz w:val="24"/>
          <w:szCs w:val="24"/>
        </w:rPr>
        <w:t>;</w:t>
      </w:r>
    </w:p>
    <w:p w14:paraId="539B49EC" w14:textId="3EA236F1" w:rsidR="00D90170" w:rsidRPr="00932CA8" w:rsidRDefault="00D90170" w:rsidP="00D90170">
      <w:pPr>
        <w:jc w:val="both"/>
        <w:rPr>
          <w:rFonts w:ascii="Times New Roman" w:hAnsi="Times New Roman" w:cs="Times New Roman"/>
          <w:sz w:val="24"/>
          <w:szCs w:val="24"/>
        </w:rPr>
      </w:pPr>
      <w:r w:rsidRPr="00932CA8">
        <w:rPr>
          <w:rFonts w:ascii="Times New Roman" w:hAnsi="Times New Roman" w:cs="Times New Roman"/>
          <w:sz w:val="24"/>
          <w:szCs w:val="24"/>
        </w:rPr>
        <w:t>A mikrotanúsítványok fontos jellemzője, hogy azok minőségbiztosítottak. Ez külső és belső minőségbiztosítást is jelent. A külső azt jelenti, hogy a mikrotanúsítványt olyan intézmény bocsátja ki, amely maga is rendelkezik minőségbiztosítással (akkreditált felsőoktatási intézmény, akkreditált k</w:t>
      </w:r>
      <w:r w:rsidR="004427AC">
        <w:rPr>
          <w:rFonts w:ascii="Times New Roman" w:hAnsi="Times New Roman" w:cs="Times New Roman"/>
          <w:sz w:val="24"/>
          <w:szCs w:val="24"/>
        </w:rPr>
        <w:t>é</w:t>
      </w:r>
      <w:r w:rsidRPr="00932CA8">
        <w:rPr>
          <w:rFonts w:ascii="Times New Roman" w:hAnsi="Times New Roman" w:cs="Times New Roman"/>
          <w:sz w:val="24"/>
          <w:szCs w:val="24"/>
        </w:rPr>
        <w:t>pzőhely), míg a belső minőségbiztosítás azt jelenti, hogy maga a mikrotanúsítványos képzésre is kiterjed a belső intézményi minőségbiztosítás.</w:t>
      </w:r>
    </w:p>
    <w:p w14:paraId="076FD7DA" w14:textId="16404EB0" w:rsidR="00D90170" w:rsidRDefault="00D90170" w:rsidP="00D90170">
      <w:pPr>
        <w:jc w:val="both"/>
        <w:rPr>
          <w:rFonts w:ascii="Times New Roman" w:hAnsi="Times New Roman" w:cs="Times New Roman"/>
          <w:sz w:val="24"/>
          <w:szCs w:val="24"/>
        </w:rPr>
      </w:pPr>
      <w:r w:rsidRPr="47201539">
        <w:rPr>
          <w:rFonts w:ascii="Times New Roman" w:hAnsi="Times New Roman" w:cs="Times New Roman"/>
          <w:sz w:val="24"/>
          <w:szCs w:val="24"/>
        </w:rPr>
        <w:t>Ez utóbbi szempont a mikrotanúsítványok nemzetközi versenyképessége szempontjából is fontos, hiszen ahhoz, hogy egy ilyen tanúsítvány elismert és kelendő legyen nemzetközi szinten is, erős legitimációval és megfelelő reputációval kell, hogy rendelkezzen</w:t>
      </w:r>
      <w:r w:rsidR="00E40EF2" w:rsidRPr="47201539">
        <w:rPr>
          <w:rFonts w:ascii="Times New Roman" w:hAnsi="Times New Roman" w:cs="Times New Roman"/>
          <w:sz w:val="24"/>
          <w:szCs w:val="24"/>
        </w:rPr>
        <w:t>.</w:t>
      </w:r>
    </w:p>
    <w:p w14:paraId="1A518A39" w14:textId="77777777" w:rsidR="00A00CB3" w:rsidRDefault="00A00CB3" w:rsidP="00D90170">
      <w:pPr>
        <w:jc w:val="both"/>
        <w:rPr>
          <w:rFonts w:ascii="Times New Roman" w:hAnsi="Times New Roman" w:cs="Times New Roman"/>
          <w:sz w:val="24"/>
          <w:szCs w:val="24"/>
        </w:rPr>
      </w:pPr>
    </w:p>
    <w:p w14:paraId="16308621" w14:textId="77777777" w:rsidR="00A00CB3" w:rsidRDefault="00A00CB3" w:rsidP="00D90170">
      <w:pPr>
        <w:jc w:val="both"/>
        <w:rPr>
          <w:rFonts w:ascii="Times New Roman" w:hAnsi="Times New Roman" w:cs="Times New Roman"/>
          <w:sz w:val="24"/>
          <w:szCs w:val="24"/>
        </w:rPr>
      </w:pPr>
    </w:p>
    <w:p w14:paraId="6CA3719B" w14:textId="1FB1C75E" w:rsidR="00E40EF2" w:rsidRPr="00380E1A" w:rsidRDefault="00022CF6" w:rsidP="00380E1A">
      <w:pPr>
        <w:pStyle w:val="Listaszerbekezds"/>
        <w:numPr>
          <w:ilvl w:val="0"/>
          <w:numId w:val="3"/>
        </w:numPr>
        <w:jc w:val="both"/>
        <w:rPr>
          <w:rFonts w:ascii="Times New Roman" w:hAnsi="Times New Roman" w:cs="Times New Roman"/>
          <w:b/>
          <w:bCs/>
          <w:sz w:val="24"/>
          <w:szCs w:val="24"/>
        </w:rPr>
      </w:pPr>
      <w:r w:rsidRPr="00380E1A">
        <w:rPr>
          <w:rFonts w:ascii="Times New Roman" w:hAnsi="Times New Roman" w:cs="Times New Roman"/>
          <w:b/>
          <w:bCs/>
          <w:sz w:val="24"/>
          <w:szCs w:val="24"/>
        </w:rPr>
        <w:lastRenderedPageBreak/>
        <w:t xml:space="preserve">A mikrotanúsítványok </w:t>
      </w:r>
      <w:r w:rsidR="006C6602" w:rsidRPr="00380E1A">
        <w:rPr>
          <w:rFonts w:ascii="Times New Roman" w:hAnsi="Times New Roman" w:cs="Times New Roman"/>
          <w:b/>
          <w:bCs/>
          <w:sz w:val="24"/>
          <w:szCs w:val="24"/>
        </w:rPr>
        <w:t xml:space="preserve">jelenlegi </w:t>
      </w:r>
      <w:r w:rsidRPr="00380E1A">
        <w:rPr>
          <w:rFonts w:ascii="Times New Roman" w:hAnsi="Times New Roman" w:cs="Times New Roman"/>
          <w:b/>
          <w:bCs/>
          <w:sz w:val="24"/>
          <w:szCs w:val="24"/>
        </w:rPr>
        <w:t>jogi környezete</w:t>
      </w:r>
    </w:p>
    <w:p w14:paraId="5B5FF581" w14:textId="6F915954" w:rsidR="000055BA" w:rsidRDefault="00E8682D" w:rsidP="000055BA">
      <w:pPr>
        <w:jc w:val="both"/>
        <w:rPr>
          <w:rFonts w:ascii="Times New Roman" w:hAnsi="Times New Roman" w:cs="Times New Roman"/>
          <w:sz w:val="24"/>
          <w:szCs w:val="24"/>
        </w:rPr>
      </w:pPr>
      <w:r>
        <w:rPr>
          <w:rFonts w:ascii="Times New Roman" w:hAnsi="Times New Roman" w:cs="Times New Roman"/>
          <w:sz w:val="24"/>
          <w:szCs w:val="24"/>
        </w:rPr>
        <w:t xml:space="preserve">A mikrotanúsítványok </w:t>
      </w:r>
      <w:r w:rsidR="002F7A59">
        <w:rPr>
          <w:rFonts w:ascii="Times New Roman" w:hAnsi="Times New Roman" w:cs="Times New Roman"/>
          <w:sz w:val="24"/>
          <w:szCs w:val="24"/>
        </w:rPr>
        <w:t xml:space="preserve">európai szintű összehangolására 2022-ben egy uniós ajánlás </w:t>
      </w:r>
      <w:r w:rsidR="007410BE">
        <w:rPr>
          <w:rFonts w:ascii="Times New Roman" w:hAnsi="Times New Roman" w:cs="Times New Roman"/>
          <w:sz w:val="24"/>
          <w:szCs w:val="24"/>
        </w:rPr>
        <w:t>született</w:t>
      </w:r>
      <w:r w:rsidR="00337AD1">
        <w:rPr>
          <w:rStyle w:val="Lbjegyzet-hivatkozs"/>
          <w:rFonts w:ascii="Times New Roman" w:hAnsi="Times New Roman" w:cs="Times New Roman"/>
          <w:sz w:val="24"/>
          <w:szCs w:val="24"/>
        </w:rPr>
        <w:footnoteReference w:id="2"/>
      </w:r>
      <w:r w:rsidR="00353112">
        <w:rPr>
          <w:rFonts w:ascii="Times New Roman" w:hAnsi="Times New Roman" w:cs="Times New Roman"/>
          <w:sz w:val="24"/>
          <w:szCs w:val="24"/>
        </w:rPr>
        <w:t xml:space="preserve">, ami részletesen leírja a mikrotanúsítványok </w:t>
      </w:r>
      <w:r w:rsidR="00AD6C4B">
        <w:rPr>
          <w:rFonts w:ascii="Times New Roman" w:hAnsi="Times New Roman" w:cs="Times New Roman"/>
          <w:sz w:val="24"/>
          <w:szCs w:val="24"/>
        </w:rPr>
        <w:t>meghatározó</w:t>
      </w:r>
      <w:r w:rsidR="00353112">
        <w:rPr>
          <w:rFonts w:ascii="Times New Roman" w:hAnsi="Times New Roman" w:cs="Times New Roman"/>
          <w:sz w:val="24"/>
          <w:szCs w:val="24"/>
        </w:rPr>
        <w:t xml:space="preserve"> jellemzőit</w:t>
      </w:r>
      <w:r w:rsidR="00AD6C4B">
        <w:rPr>
          <w:rFonts w:ascii="Times New Roman" w:hAnsi="Times New Roman" w:cs="Times New Roman"/>
          <w:sz w:val="24"/>
          <w:szCs w:val="24"/>
        </w:rPr>
        <w:t xml:space="preserve">, </w:t>
      </w:r>
      <w:r w:rsidR="00F078CC">
        <w:rPr>
          <w:rFonts w:ascii="Times New Roman" w:hAnsi="Times New Roman" w:cs="Times New Roman"/>
          <w:sz w:val="24"/>
          <w:szCs w:val="24"/>
        </w:rPr>
        <w:t>tartalmi elemeit. Az ajánlás – jellegénél fogva – nem kötelező erejű jogforrás</w:t>
      </w:r>
      <w:r w:rsidR="003B37E9">
        <w:rPr>
          <w:rFonts w:ascii="Times New Roman" w:hAnsi="Times New Roman" w:cs="Times New Roman"/>
          <w:sz w:val="24"/>
          <w:szCs w:val="24"/>
        </w:rPr>
        <w:t>, vagyis nem teremt kötelezettséget a tagállamok számára a</w:t>
      </w:r>
      <w:r w:rsidR="00860318">
        <w:rPr>
          <w:rFonts w:ascii="Times New Roman" w:hAnsi="Times New Roman" w:cs="Times New Roman"/>
          <w:sz w:val="24"/>
          <w:szCs w:val="24"/>
        </w:rPr>
        <w:t>z</w:t>
      </w:r>
      <w:r w:rsidR="003B37E9">
        <w:rPr>
          <w:rFonts w:ascii="Times New Roman" w:hAnsi="Times New Roman" w:cs="Times New Roman"/>
          <w:sz w:val="24"/>
          <w:szCs w:val="24"/>
        </w:rPr>
        <w:t xml:space="preserve"> átültetésre</w:t>
      </w:r>
      <w:r w:rsidR="00860318">
        <w:rPr>
          <w:rFonts w:ascii="Times New Roman" w:hAnsi="Times New Roman" w:cs="Times New Roman"/>
          <w:sz w:val="24"/>
          <w:szCs w:val="24"/>
        </w:rPr>
        <w:t xml:space="preserve">, de arra ösztökéli azokat, hogy amennyiben </w:t>
      </w:r>
      <w:r w:rsidR="002E2E72">
        <w:rPr>
          <w:rFonts w:ascii="Times New Roman" w:hAnsi="Times New Roman" w:cs="Times New Roman"/>
          <w:sz w:val="24"/>
          <w:szCs w:val="24"/>
        </w:rPr>
        <w:t>létrehoznak az adott kérdésben szabályozásokat, akkor</w:t>
      </w:r>
      <w:r w:rsidR="00BD6765">
        <w:rPr>
          <w:rFonts w:ascii="Times New Roman" w:hAnsi="Times New Roman" w:cs="Times New Roman"/>
          <w:sz w:val="24"/>
          <w:szCs w:val="24"/>
        </w:rPr>
        <w:t xml:space="preserve"> az uniós szintű egységes megközelítés jegyében ehhez igazodjanak.</w:t>
      </w:r>
    </w:p>
    <w:p w14:paraId="40ED29BD" w14:textId="33AB0018" w:rsidR="00145992" w:rsidRDefault="00D84E7F" w:rsidP="000055BA">
      <w:pPr>
        <w:jc w:val="both"/>
        <w:rPr>
          <w:rFonts w:ascii="Times New Roman" w:hAnsi="Times New Roman" w:cs="Times New Roman"/>
          <w:sz w:val="24"/>
          <w:szCs w:val="24"/>
        </w:rPr>
      </w:pPr>
      <w:r w:rsidRPr="518F5682">
        <w:rPr>
          <w:rFonts w:ascii="Times New Roman" w:hAnsi="Times New Roman" w:cs="Times New Roman"/>
          <w:sz w:val="24"/>
          <w:szCs w:val="24"/>
        </w:rPr>
        <w:t xml:space="preserve">Magyarországon – más uniós országokhoz képest </w:t>
      </w:r>
      <w:r w:rsidR="00A96576" w:rsidRPr="518F5682">
        <w:rPr>
          <w:rFonts w:ascii="Times New Roman" w:hAnsi="Times New Roman" w:cs="Times New Roman"/>
          <w:sz w:val="24"/>
          <w:szCs w:val="24"/>
        </w:rPr>
        <w:t>–</w:t>
      </w:r>
      <w:r w:rsidRPr="518F5682">
        <w:rPr>
          <w:rFonts w:ascii="Times New Roman" w:hAnsi="Times New Roman" w:cs="Times New Roman"/>
          <w:sz w:val="24"/>
          <w:szCs w:val="24"/>
        </w:rPr>
        <w:t xml:space="preserve"> </w:t>
      </w:r>
      <w:r w:rsidR="00A96576" w:rsidRPr="518F5682">
        <w:rPr>
          <w:rFonts w:ascii="Times New Roman" w:hAnsi="Times New Roman" w:cs="Times New Roman"/>
          <w:sz w:val="24"/>
          <w:szCs w:val="24"/>
        </w:rPr>
        <w:t>viszonylag gyorsan született törvényi szabályozás a mikrotanúsítványokra nézve.</w:t>
      </w:r>
      <w:r w:rsidR="00145992" w:rsidRPr="518F5682">
        <w:rPr>
          <w:rFonts w:ascii="Times New Roman" w:hAnsi="Times New Roman" w:cs="Times New Roman"/>
          <w:sz w:val="24"/>
          <w:szCs w:val="24"/>
        </w:rPr>
        <w:t xml:space="preserve"> Igaz, a szabályozás</w:t>
      </w:r>
      <w:r w:rsidR="007676B0" w:rsidRPr="518F5682">
        <w:rPr>
          <w:rFonts w:ascii="Times New Roman" w:hAnsi="Times New Roman" w:cs="Times New Roman"/>
          <w:sz w:val="24"/>
          <w:szCs w:val="24"/>
        </w:rPr>
        <w:t xml:space="preserve"> azóta több ízben módosult, változo</w:t>
      </w:r>
      <w:r w:rsidR="00132B0D" w:rsidRPr="518F5682">
        <w:rPr>
          <w:rFonts w:ascii="Times New Roman" w:hAnsi="Times New Roman" w:cs="Times New Roman"/>
          <w:sz w:val="24"/>
          <w:szCs w:val="24"/>
        </w:rPr>
        <w:t>tt</w:t>
      </w:r>
      <w:r w:rsidR="00B4624C" w:rsidRPr="518F5682">
        <w:rPr>
          <w:rFonts w:ascii="Times New Roman" w:hAnsi="Times New Roman" w:cs="Times New Roman"/>
          <w:sz w:val="24"/>
          <w:szCs w:val="24"/>
        </w:rPr>
        <w:t xml:space="preserve"> és nem teljesen a nemzetközi, európai trendekkel azonos irányba</w:t>
      </w:r>
      <w:r w:rsidR="00876EF5" w:rsidRPr="518F5682">
        <w:rPr>
          <w:rFonts w:ascii="Times New Roman" w:hAnsi="Times New Roman" w:cs="Times New Roman"/>
          <w:sz w:val="24"/>
          <w:szCs w:val="24"/>
        </w:rPr>
        <w:t xml:space="preserve">. Ugyanakkor a magyar szabályozás nem is zárja ki, hogy annak keretein belül a felsőoktatási intézmények maguk </w:t>
      </w:r>
      <w:r w:rsidR="00804DAF" w:rsidRPr="518F5682">
        <w:rPr>
          <w:rFonts w:ascii="Times New Roman" w:hAnsi="Times New Roman" w:cs="Times New Roman"/>
          <w:sz w:val="24"/>
          <w:szCs w:val="24"/>
        </w:rPr>
        <w:t>a mikrotanúsítványok kibocsátásnak feltételeit</w:t>
      </w:r>
      <w:r w:rsidR="00E7712A" w:rsidRPr="518F5682">
        <w:rPr>
          <w:rFonts w:ascii="Times New Roman" w:hAnsi="Times New Roman" w:cs="Times New Roman"/>
          <w:sz w:val="24"/>
          <w:szCs w:val="24"/>
        </w:rPr>
        <w:t xml:space="preserve"> az uniós ajánláshoz vagy nemzetközi példákhoz igazítsák. E</w:t>
      </w:r>
      <w:r w:rsidR="00865305" w:rsidRPr="518F5682">
        <w:rPr>
          <w:rFonts w:ascii="Times New Roman" w:hAnsi="Times New Roman" w:cs="Times New Roman"/>
          <w:sz w:val="24"/>
          <w:szCs w:val="24"/>
        </w:rPr>
        <w:t>z azért is fontos, hogy e mikrotanústványok külföldön is versenyképe</w:t>
      </w:r>
      <w:r w:rsidR="00CA4969" w:rsidRPr="518F5682">
        <w:rPr>
          <w:rFonts w:ascii="Times New Roman" w:hAnsi="Times New Roman" w:cs="Times New Roman"/>
          <w:sz w:val="24"/>
          <w:szCs w:val="24"/>
        </w:rPr>
        <w:t>sek és külföldi munkaadók számára is értékesek legyenek.</w:t>
      </w:r>
    </w:p>
    <w:p w14:paraId="5229D936" w14:textId="59C4D7ED" w:rsidR="000055BA" w:rsidRDefault="005C2819" w:rsidP="000055BA">
      <w:pPr>
        <w:jc w:val="both"/>
        <w:rPr>
          <w:rFonts w:ascii="Times New Roman" w:hAnsi="Times New Roman" w:cs="Times New Roman"/>
          <w:sz w:val="24"/>
          <w:szCs w:val="24"/>
        </w:rPr>
      </w:pPr>
      <w:r>
        <w:rPr>
          <w:rFonts w:ascii="Times New Roman" w:hAnsi="Times New Roman" w:cs="Times New Roman"/>
          <w:sz w:val="24"/>
          <w:szCs w:val="24"/>
        </w:rPr>
        <w:t>Az első ilyen különbség magában a definícióban talál</w:t>
      </w:r>
      <w:r w:rsidR="00CB4FF0">
        <w:rPr>
          <w:rFonts w:ascii="Times New Roman" w:hAnsi="Times New Roman" w:cs="Times New Roman"/>
          <w:sz w:val="24"/>
          <w:szCs w:val="24"/>
        </w:rPr>
        <w:t xml:space="preserve">ható meg. </w:t>
      </w:r>
      <w:r w:rsidR="000055BA">
        <w:rPr>
          <w:rFonts w:ascii="Times New Roman" w:hAnsi="Times New Roman" w:cs="Times New Roman"/>
          <w:sz w:val="24"/>
          <w:szCs w:val="24"/>
        </w:rPr>
        <w:t xml:space="preserve">Az Nftv </w:t>
      </w:r>
      <w:r w:rsidR="00CB4FF0">
        <w:rPr>
          <w:rFonts w:ascii="Times New Roman" w:hAnsi="Times New Roman" w:cs="Times New Roman"/>
          <w:sz w:val="24"/>
          <w:szCs w:val="24"/>
        </w:rPr>
        <w:t>értelmében</w:t>
      </w:r>
      <w:r w:rsidR="000055BA">
        <w:rPr>
          <w:rFonts w:ascii="Times New Roman" w:hAnsi="Times New Roman" w:cs="Times New Roman"/>
          <w:sz w:val="24"/>
          <w:szCs w:val="24"/>
        </w:rPr>
        <w:t>:</w:t>
      </w:r>
    </w:p>
    <w:p w14:paraId="63093212" w14:textId="22CF148C" w:rsidR="005E425B" w:rsidRDefault="000055BA" w:rsidP="000055BA">
      <w:pPr>
        <w:jc w:val="both"/>
        <w:rPr>
          <w:rFonts w:ascii="Times New Roman" w:hAnsi="Times New Roman" w:cs="Times New Roman"/>
          <w:i/>
          <w:iCs/>
          <w:sz w:val="24"/>
          <w:szCs w:val="24"/>
        </w:rPr>
      </w:pPr>
      <w:r w:rsidRPr="00087FAD">
        <w:rPr>
          <w:rFonts w:ascii="Times New Roman" w:hAnsi="Times New Roman" w:cs="Times New Roman"/>
          <w:i/>
          <w:iCs/>
          <w:sz w:val="24"/>
          <w:szCs w:val="24"/>
        </w:rPr>
        <w:t xml:space="preserve">mikrotanúsítvány: </w:t>
      </w:r>
      <w:r w:rsidR="005E425B" w:rsidRPr="005E425B">
        <w:rPr>
          <w:rFonts w:ascii="Times New Roman" w:hAnsi="Times New Roman" w:cs="Times New Roman"/>
          <w:i/>
          <w:iCs/>
          <w:sz w:val="24"/>
          <w:szCs w:val="24"/>
        </w:rPr>
        <w:t>tárgyleírást és kreditértéket is tartalmazó olyan igazolás, amely a felsőoktatási intézmény valamely kurzusának, moduljának, részismereti vagy mikroképzésének elvégzése révén megszerzett tanulási eredményt igazoló közokirat;</w:t>
      </w:r>
    </w:p>
    <w:p w14:paraId="5F47E8E1" w14:textId="77777777" w:rsidR="000055BA" w:rsidRDefault="000055BA" w:rsidP="000055BA">
      <w:pPr>
        <w:jc w:val="both"/>
        <w:rPr>
          <w:rFonts w:ascii="Times New Roman" w:hAnsi="Times New Roman" w:cs="Times New Roman"/>
          <w:sz w:val="24"/>
          <w:szCs w:val="24"/>
        </w:rPr>
      </w:pPr>
      <w:r>
        <w:rPr>
          <w:rFonts w:ascii="Times New Roman" w:hAnsi="Times New Roman" w:cs="Times New Roman"/>
          <w:sz w:val="24"/>
          <w:szCs w:val="24"/>
        </w:rPr>
        <w:t>A definíciót érdemes összevetni az uniós ajánlás lényegesen hosszabb, magyarázó jellegű meghatározásával, amely szerint</w:t>
      </w:r>
    </w:p>
    <w:p w14:paraId="64BDD947" w14:textId="77777777" w:rsidR="000055BA" w:rsidRDefault="000055BA" w:rsidP="518F5682">
      <w:pPr>
        <w:jc w:val="both"/>
        <w:rPr>
          <w:rFonts w:ascii="Times New Roman" w:hAnsi="Times New Roman" w:cs="Times New Roman"/>
          <w:i/>
          <w:iCs/>
          <w:sz w:val="24"/>
          <w:szCs w:val="24"/>
        </w:rPr>
      </w:pPr>
      <w:r w:rsidRPr="518F5682">
        <w:rPr>
          <w:rFonts w:ascii="Times New Roman" w:hAnsi="Times New Roman" w:cs="Times New Roman"/>
          <w:i/>
          <w:iCs/>
          <w:sz w:val="24"/>
          <w:szCs w:val="24"/>
        </w:rPr>
        <w:t>„mikrotanúsítvány”: kis tanulási egységek elvégzését követően a tanuló által megszerzett tanulási eredményeket igazoló dokumentum. E tanulási eredmények értékelése átlátható és világosan meghatározott kritériumok mentén fog történni. A mikrotanúsítványok megszerzéséhez vezető tanulási eredmények célja, hogy a tanulókat olyan speciális ismeretekkel, készségekkel és kompetenciákkal ruházzák fel, amelyek megfelelnek a társadalmi, a személyes, a kulturális vagy a munkaerőpiaci igényeknek. A mikrotanúsítványok a tanuló tulajdonát képezik, megoszthatók és hordozhatók. Lehetnek önállóak vagy nagyobb tanúsítványokká vonhatók össze. A mikrotanúsítványokat az adott ágazatban vagy tevékenységi területen elfogadott szabványokon alapuló minőségbiztosítás támasztja alá.</w:t>
      </w:r>
    </w:p>
    <w:p w14:paraId="7C9D9BF9" w14:textId="77777777" w:rsidR="00012AFB" w:rsidRDefault="00A7741D" w:rsidP="000055BA">
      <w:pPr>
        <w:jc w:val="both"/>
        <w:rPr>
          <w:rFonts w:ascii="Times New Roman" w:hAnsi="Times New Roman" w:cs="Times New Roman"/>
          <w:sz w:val="24"/>
          <w:szCs w:val="24"/>
        </w:rPr>
      </w:pPr>
      <w:r>
        <w:rPr>
          <w:rFonts w:ascii="Times New Roman" w:hAnsi="Times New Roman" w:cs="Times New Roman"/>
          <w:sz w:val="24"/>
          <w:szCs w:val="24"/>
        </w:rPr>
        <w:t>A</w:t>
      </w:r>
      <w:r w:rsidR="00BB5C05">
        <w:rPr>
          <w:rFonts w:ascii="Times New Roman" w:hAnsi="Times New Roman" w:cs="Times New Roman"/>
          <w:sz w:val="24"/>
          <w:szCs w:val="24"/>
        </w:rPr>
        <w:t>nnak érdekében, hogy az ELTE által kibocsátott mikrotanúsítványok nemzetközileg versenyképesek legyenek</w:t>
      </w:r>
      <w:r w:rsidR="00BB5C05" w:rsidRPr="00173A65">
        <w:rPr>
          <w:rFonts w:ascii="Times New Roman" w:hAnsi="Times New Roman" w:cs="Times New Roman"/>
          <w:sz w:val="24"/>
          <w:szCs w:val="24"/>
        </w:rPr>
        <w:t xml:space="preserve"> </w:t>
      </w:r>
      <w:r w:rsidR="001D2A58">
        <w:rPr>
          <w:rFonts w:ascii="Times New Roman" w:hAnsi="Times New Roman" w:cs="Times New Roman"/>
          <w:sz w:val="24"/>
          <w:szCs w:val="24"/>
        </w:rPr>
        <w:t>ajánlott</w:t>
      </w:r>
      <w:r w:rsidR="000055BA">
        <w:rPr>
          <w:rFonts w:ascii="Times New Roman" w:hAnsi="Times New Roman" w:cs="Times New Roman"/>
          <w:sz w:val="24"/>
          <w:szCs w:val="24"/>
        </w:rPr>
        <w:t xml:space="preserve"> a szűkszavúbb magyar definíciót is az uniós megközelítés fényében értelmezni, elsősorban úgy, hogy </w:t>
      </w:r>
      <w:r w:rsidR="001D2A58">
        <w:rPr>
          <w:rFonts w:ascii="Times New Roman" w:hAnsi="Times New Roman" w:cs="Times New Roman"/>
          <w:sz w:val="24"/>
          <w:szCs w:val="24"/>
        </w:rPr>
        <w:t>e</w:t>
      </w:r>
      <w:r w:rsidR="000055BA">
        <w:rPr>
          <w:rFonts w:ascii="Times New Roman" w:hAnsi="Times New Roman" w:cs="Times New Roman"/>
          <w:sz w:val="24"/>
          <w:szCs w:val="24"/>
        </w:rPr>
        <w:t xml:space="preserve"> mikrotanústványok is teljesítsék a hordozhatóság, megoszthatóság követelményét, </w:t>
      </w:r>
      <w:r w:rsidR="002F4A7B">
        <w:rPr>
          <w:rFonts w:ascii="Times New Roman" w:hAnsi="Times New Roman" w:cs="Times New Roman"/>
          <w:sz w:val="24"/>
          <w:szCs w:val="24"/>
        </w:rPr>
        <w:t>értékelésük átlátható</w:t>
      </w:r>
      <w:r w:rsidR="00C63F5D">
        <w:rPr>
          <w:rFonts w:ascii="Times New Roman" w:hAnsi="Times New Roman" w:cs="Times New Roman"/>
          <w:sz w:val="24"/>
          <w:szCs w:val="24"/>
        </w:rPr>
        <w:t xml:space="preserve"> és világosan meghatározott kritériumok mentén történjen</w:t>
      </w:r>
      <w:r w:rsidR="00A10DEC">
        <w:rPr>
          <w:rFonts w:ascii="Times New Roman" w:hAnsi="Times New Roman" w:cs="Times New Roman"/>
          <w:sz w:val="24"/>
          <w:szCs w:val="24"/>
        </w:rPr>
        <w:t xml:space="preserve"> és valóban adott társadalmi, munkaerőpiaci vagy személyes igényeket elégítsenek ki.</w:t>
      </w:r>
    </w:p>
    <w:p w14:paraId="126D639C" w14:textId="422F6B84" w:rsidR="00EA5C59" w:rsidRDefault="004F1B41" w:rsidP="000055BA">
      <w:pPr>
        <w:jc w:val="both"/>
        <w:rPr>
          <w:rFonts w:ascii="Times New Roman" w:hAnsi="Times New Roman" w:cs="Times New Roman"/>
          <w:sz w:val="24"/>
          <w:szCs w:val="24"/>
        </w:rPr>
      </w:pPr>
      <w:r w:rsidRPr="518F5682">
        <w:rPr>
          <w:rFonts w:ascii="Times New Roman" w:hAnsi="Times New Roman" w:cs="Times New Roman"/>
          <w:sz w:val="24"/>
          <w:szCs w:val="24"/>
        </w:rPr>
        <w:t xml:space="preserve">Az ilyen, fenti szempontokat is kielégítő </w:t>
      </w:r>
      <w:r w:rsidR="005D1075" w:rsidRPr="518F5682">
        <w:rPr>
          <w:rFonts w:ascii="Times New Roman" w:hAnsi="Times New Roman" w:cs="Times New Roman"/>
          <w:sz w:val="24"/>
          <w:szCs w:val="24"/>
        </w:rPr>
        <w:t>mikrotanúsítványo</w:t>
      </w:r>
      <w:r w:rsidR="00F13C2D" w:rsidRPr="518F5682">
        <w:rPr>
          <w:rFonts w:ascii="Times New Roman" w:hAnsi="Times New Roman" w:cs="Times New Roman"/>
          <w:sz w:val="24"/>
          <w:szCs w:val="24"/>
        </w:rPr>
        <w:t>s képzések</w:t>
      </w:r>
      <w:r w:rsidR="00D963CC" w:rsidRPr="518F5682">
        <w:rPr>
          <w:rFonts w:ascii="Times New Roman" w:hAnsi="Times New Roman" w:cs="Times New Roman"/>
          <w:sz w:val="24"/>
          <w:szCs w:val="24"/>
        </w:rPr>
        <w:t>nek tehát</w:t>
      </w:r>
      <w:r w:rsidR="005D1075" w:rsidRPr="518F5682">
        <w:rPr>
          <w:rFonts w:ascii="Times New Roman" w:hAnsi="Times New Roman" w:cs="Times New Roman"/>
          <w:sz w:val="24"/>
          <w:szCs w:val="24"/>
        </w:rPr>
        <w:t xml:space="preserve"> az ELTE-n belül</w:t>
      </w:r>
      <w:r w:rsidR="00B86B35" w:rsidRPr="518F5682">
        <w:rPr>
          <w:rFonts w:ascii="Times New Roman" w:hAnsi="Times New Roman" w:cs="Times New Roman"/>
          <w:sz w:val="24"/>
          <w:szCs w:val="24"/>
        </w:rPr>
        <w:t xml:space="preserve"> </w:t>
      </w:r>
      <w:r w:rsidR="00D963CC" w:rsidRPr="518F5682">
        <w:rPr>
          <w:rFonts w:ascii="Times New Roman" w:hAnsi="Times New Roman" w:cs="Times New Roman"/>
          <w:sz w:val="24"/>
          <w:szCs w:val="24"/>
        </w:rPr>
        <w:t>egyfajta minős</w:t>
      </w:r>
      <w:r w:rsidR="009A1E20" w:rsidRPr="518F5682">
        <w:rPr>
          <w:rFonts w:ascii="Times New Roman" w:hAnsi="Times New Roman" w:cs="Times New Roman"/>
          <w:sz w:val="24"/>
          <w:szCs w:val="24"/>
        </w:rPr>
        <w:t>é</w:t>
      </w:r>
      <w:r w:rsidR="00D963CC" w:rsidRPr="518F5682">
        <w:rPr>
          <w:rFonts w:ascii="Times New Roman" w:hAnsi="Times New Roman" w:cs="Times New Roman"/>
          <w:sz w:val="24"/>
          <w:szCs w:val="24"/>
        </w:rPr>
        <w:t>gbiztosításon kell átesniük</w:t>
      </w:r>
      <w:r w:rsidR="006B4A3D" w:rsidRPr="518F5682">
        <w:rPr>
          <w:rFonts w:ascii="Times New Roman" w:hAnsi="Times New Roman" w:cs="Times New Roman"/>
          <w:sz w:val="24"/>
          <w:szCs w:val="24"/>
        </w:rPr>
        <w:t>, a</w:t>
      </w:r>
      <w:r w:rsidR="00975DA6" w:rsidRPr="518F5682">
        <w:rPr>
          <w:rFonts w:ascii="Times New Roman" w:hAnsi="Times New Roman" w:cs="Times New Roman"/>
          <w:sz w:val="24"/>
          <w:szCs w:val="24"/>
        </w:rPr>
        <w:t>melynek során egyértelművé válik, hogy melyek a</w:t>
      </w:r>
      <w:r w:rsidR="00AB557E" w:rsidRPr="518F5682">
        <w:rPr>
          <w:rFonts w:ascii="Times New Roman" w:hAnsi="Times New Roman" w:cs="Times New Roman"/>
          <w:sz w:val="24"/>
          <w:szCs w:val="24"/>
        </w:rPr>
        <w:t xml:space="preserve">zok a munkaerőpiaci, társadalmi vagy egyéb igények, amelyeknek a képzés eleget </w:t>
      </w:r>
      <w:r w:rsidR="00AB557E" w:rsidRPr="518F5682">
        <w:rPr>
          <w:rFonts w:ascii="Times New Roman" w:hAnsi="Times New Roman" w:cs="Times New Roman"/>
          <w:sz w:val="24"/>
          <w:szCs w:val="24"/>
        </w:rPr>
        <w:lastRenderedPageBreak/>
        <w:t xml:space="preserve">kíván tenni, </w:t>
      </w:r>
      <w:r w:rsidR="00074CE2" w:rsidRPr="518F5682">
        <w:rPr>
          <w:rFonts w:ascii="Times New Roman" w:hAnsi="Times New Roman" w:cs="Times New Roman"/>
          <w:sz w:val="24"/>
          <w:szCs w:val="24"/>
        </w:rPr>
        <w:t>melyek a tanulási eredmények, amelyeket igazol, ezek hogyan szolgálják a</w:t>
      </w:r>
      <w:r w:rsidR="001D1DBC" w:rsidRPr="518F5682">
        <w:rPr>
          <w:rFonts w:ascii="Times New Roman" w:hAnsi="Times New Roman" w:cs="Times New Roman"/>
          <w:sz w:val="24"/>
          <w:szCs w:val="24"/>
        </w:rPr>
        <w:t>z adott igényeket</w:t>
      </w:r>
      <w:r w:rsidR="00FE44DB" w:rsidRPr="518F5682">
        <w:rPr>
          <w:rFonts w:ascii="Times New Roman" w:hAnsi="Times New Roman" w:cs="Times New Roman"/>
          <w:sz w:val="24"/>
          <w:szCs w:val="24"/>
        </w:rPr>
        <w:t xml:space="preserve"> és milyen módon történik e tanulási eredmények értékelése.</w:t>
      </w:r>
    </w:p>
    <w:p w14:paraId="1820FBCF" w14:textId="77777777" w:rsidR="00FC6247" w:rsidRDefault="0023639F" w:rsidP="000055BA">
      <w:pPr>
        <w:jc w:val="both"/>
        <w:rPr>
          <w:rFonts w:ascii="Times New Roman" w:hAnsi="Times New Roman" w:cs="Times New Roman"/>
          <w:sz w:val="24"/>
          <w:szCs w:val="24"/>
        </w:rPr>
      </w:pPr>
      <w:r>
        <w:rPr>
          <w:rFonts w:ascii="Times New Roman" w:hAnsi="Times New Roman" w:cs="Times New Roman"/>
          <w:sz w:val="24"/>
          <w:szCs w:val="24"/>
        </w:rPr>
        <w:t>Mindez azért fontos, mert az Nftv</w:t>
      </w:r>
      <w:r w:rsidR="003C5EB5">
        <w:rPr>
          <w:rFonts w:ascii="Times New Roman" w:hAnsi="Times New Roman" w:cs="Times New Roman"/>
          <w:sz w:val="24"/>
          <w:szCs w:val="24"/>
        </w:rPr>
        <w:t xml:space="preserve"> további rendelkezéseiből az következik, hogy a magyar szabályozás </w:t>
      </w:r>
      <w:r w:rsidR="00AD2126">
        <w:rPr>
          <w:rFonts w:ascii="Times New Roman" w:hAnsi="Times New Roman" w:cs="Times New Roman"/>
          <w:sz w:val="24"/>
          <w:szCs w:val="24"/>
        </w:rPr>
        <w:t xml:space="preserve">az uniós ajánlásnak megfelelő </w:t>
      </w:r>
      <w:r w:rsidR="00691635">
        <w:rPr>
          <w:rFonts w:ascii="Times New Roman" w:hAnsi="Times New Roman" w:cs="Times New Roman"/>
          <w:sz w:val="24"/>
          <w:szCs w:val="24"/>
        </w:rPr>
        <w:t>definíción túl más esetekben is kötelezővé, illetve lehetővé teszi mikrotanúsítvány kibocsátását.</w:t>
      </w:r>
    </w:p>
    <w:p w14:paraId="4EC11FCA" w14:textId="479DB0B8" w:rsidR="00BB3BA3" w:rsidRDefault="000D06D3" w:rsidP="00BB3BA3">
      <w:pPr>
        <w:jc w:val="both"/>
        <w:rPr>
          <w:rFonts w:ascii="Times New Roman" w:hAnsi="Times New Roman" w:cs="Times New Roman"/>
          <w:sz w:val="24"/>
          <w:szCs w:val="24"/>
        </w:rPr>
      </w:pPr>
      <w:r>
        <w:rPr>
          <w:rFonts w:ascii="Times New Roman" w:hAnsi="Times New Roman" w:cs="Times New Roman"/>
          <w:sz w:val="24"/>
          <w:szCs w:val="24"/>
        </w:rPr>
        <w:t>A 42.§ (1a)</w:t>
      </w:r>
      <w:r w:rsidR="00275FD2">
        <w:rPr>
          <w:rFonts w:ascii="Times New Roman" w:hAnsi="Times New Roman" w:cs="Times New Roman"/>
          <w:sz w:val="24"/>
          <w:szCs w:val="24"/>
        </w:rPr>
        <w:t xml:space="preserve"> bekezdése értelmében mikrotanúsítványt kell kibocsátania a felsőoktatási intézménynek a vendéghallgató</w:t>
      </w:r>
      <w:r w:rsidR="00FC28F7">
        <w:rPr>
          <w:rFonts w:ascii="Times New Roman" w:hAnsi="Times New Roman" w:cs="Times New Roman"/>
          <w:sz w:val="24"/>
          <w:szCs w:val="24"/>
        </w:rPr>
        <w:t>i jogviszonyban a vendéghallgató által elért tanulmányi teljesítményről</w:t>
      </w:r>
      <w:r w:rsidR="00B56B93">
        <w:rPr>
          <w:rFonts w:ascii="Times New Roman" w:hAnsi="Times New Roman" w:cs="Times New Roman"/>
          <w:sz w:val="24"/>
          <w:szCs w:val="24"/>
        </w:rPr>
        <w:t xml:space="preserve">. Ezen felül </w:t>
      </w:r>
      <w:r w:rsidR="00E04C81">
        <w:rPr>
          <w:rFonts w:ascii="Times New Roman" w:hAnsi="Times New Roman" w:cs="Times New Roman"/>
          <w:sz w:val="24"/>
          <w:szCs w:val="24"/>
        </w:rPr>
        <w:t xml:space="preserve">a törvény 49.§ (10) bekezdése </w:t>
      </w:r>
      <w:r w:rsidR="00BB3BA3">
        <w:rPr>
          <w:rFonts w:ascii="Times New Roman" w:hAnsi="Times New Roman" w:cs="Times New Roman"/>
          <w:sz w:val="24"/>
          <w:szCs w:val="24"/>
        </w:rPr>
        <w:t xml:space="preserve">szerint </w:t>
      </w:r>
      <w:r w:rsidR="00BB3BA3" w:rsidRPr="00BB3BA3">
        <w:rPr>
          <w:rFonts w:ascii="Times New Roman" w:hAnsi="Times New Roman" w:cs="Times New Roman"/>
          <w:sz w:val="24"/>
          <w:szCs w:val="24"/>
        </w:rPr>
        <w:t>felsőoktatási intézmény a hallgató által elért tanulási eredményről, a hallgató kérésére, mikrotanúsítványt állít ki.</w:t>
      </w:r>
    </w:p>
    <w:p w14:paraId="4B7D9B66" w14:textId="4DD46A85" w:rsidR="004B1FAE" w:rsidRDefault="00BB3BA3" w:rsidP="00BB3BA3">
      <w:pPr>
        <w:jc w:val="both"/>
        <w:rPr>
          <w:rFonts w:ascii="Times New Roman" w:hAnsi="Times New Roman" w:cs="Times New Roman"/>
          <w:sz w:val="24"/>
          <w:szCs w:val="24"/>
        </w:rPr>
      </w:pPr>
      <w:r w:rsidRPr="518F5682">
        <w:rPr>
          <w:rFonts w:ascii="Times New Roman" w:hAnsi="Times New Roman" w:cs="Times New Roman"/>
          <w:sz w:val="24"/>
          <w:szCs w:val="24"/>
        </w:rPr>
        <w:t>Ez a két</w:t>
      </w:r>
      <w:r w:rsidR="00B86A02" w:rsidRPr="518F5682">
        <w:rPr>
          <w:rFonts w:ascii="Times New Roman" w:hAnsi="Times New Roman" w:cs="Times New Roman"/>
          <w:sz w:val="24"/>
          <w:szCs w:val="24"/>
        </w:rPr>
        <w:t>, Nftv</w:t>
      </w:r>
      <w:r w:rsidRPr="518F5682">
        <w:rPr>
          <w:rFonts w:ascii="Times New Roman" w:hAnsi="Times New Roman" w:cs="Times New Roman"/>
          <w:sz w:val="24"/>
          <w:szCs w:val="24"/>
        </w:rPr>
        <w:t xml:space="preserve"> </w:t>
      </w:r>
      <w:r w:rsidR="00B86A02" w:rsidRPr="518F5682">
        <w:rPr>
          <w:rFonts w:ascii="Times New Roman" w:hAnsi="Times New Roman" w:cs="Times New Roman"/>
          <w:sz w:val="24"/>
          <w:szCs w:val="24"/>
        </w:rPr>
        <w:t xml:space="preserve">szerinti </w:t>
      </w:r>
      <w:r w:rsidRPr="518F5682">
        <w:rPr>
          <w:rFonts w:ascii="Times New Roman" w:hAnsi="Times New Roman" w:cs="Times New Roman"/>
          <w:sz w:val="24"/>
          <w:szCs w:val="24"/>
        </w:rPr>
        <w:t>esetkör</w:t>
      </w:r>
      <w:r w:rsidR="00B86A02" w:rsidRPr="518F5682">
        <w:rPr>
          <w:rFonts w:ascii="Times New Roman" w:hAnsi="Times New Roman" w:cs="Times New Roman"/>
          <w:sz w:val="24"/>
          <w:szCs w:val="24"/>
        </w:rPr>
        <w:t xml:space="preserve"> inkább közelebb áll a kreditigazolás fogalmához</w:t>
      </w:r>
      <w:r w:rsidR="00D776FD" w:rsidRPr="518F5682">
        <w:rPr>
          <w:rFonts w:ascii="Times New Roman" w:hAnsi="Times New Roman" w:cs="Times New Roman"/>
          <w:sz w:val="24"/>
          <w:szCs w:val="24"/>
        </w:rPr>
        <w:t>, mint az uniós</w:t>
      </w:r>
      <w:r w:rsidR="0023227F" w:rsidRPr="518F5682">
        <w:rPr>
          <w:rFonts w:ascii="Times New Roman" w:hAnsi="Times New Roman" w:cs="Times New Roman"/>
          <w:sz w:val="24"/>
          <w:szCs w:val="24"/>
        </w:rPr>
        <w:t xml:space="preserve"> vagy nemzetközi értelemben vett mikrotanústványhoz. Természetesen a mikrotanúsítványt a felsőoktatási intézménynek ilyen esetben is ki kell bocsátania</w:t>
      </w:r>
      <w:r w:rsidR="007400F0" w:rsidRPr="518F5682">
        <w:rPr>
          <w:rFonts w:ascii="Times New Roman" w:hAnsi="Times New Roman" w:cs="Times New Roman"/>
          <w:sz w:val="24"/>
          <w:szCs w:val="24"/>
        </w:rPr>
        <w:t xml:space="preserve"> a NEPTUN szerinti nyomtatványon, de az ilyen kurzus</w:t>
      </w:r>
      <w:r w:rsidR="00B52813" w:rsidRPr="518F5682">
        <w:rPr>
          <w:rFonts w:ascii="Times New Roman" w:hAnsi="Times New Roman" w:cs="Times New Roman"/>
          <w:sz w:val="24"/>
          <w:szCs w:val="24"/>
        </w:rPr>
        <w:t>ok nem feltétlenül reagálnak konkrét munkaerőpiaci</w:t>
      </w:r>
      <w:r w:rsidR="008D6054" w:rsidRPr="518F5682">
        <w:rPr>
          <w:rFonts w:ascii="Times New Roman" w:hAnsi="Times New Roman" w:cs="Times New Roman"/>
          <w:sz w:val="24"/>
          <w:szCs w:val="24"/>
        </w:rPr>
        <w:t xml:space="preserve"> vagy társadalmi igényekre, esetükben tehát nem szükséges a</w:t>
      </w:r>
      <w:r w:rsidR="00A96A4E">
        <w:rPr>
          <w:rFonts w:ascii="Times New Roman" w:hAnsi="Times New Roman" w:cs="Times New Roman"/>
          <w:sz w:val="24"/>
          <w:szCs w:val="24"/>
        </w:rPr>
        <w:t xml:space="preserve"> mikrotanúsítványos bejelentési eljárás.</w:t>
      </w:r>
      <w:r w:rsidR="00E8481C" w:rsidRPr="518F5682">
        <w:rPr>
          <w:rFonts w:ascii="Times New Roman" w:hAnsi="Times New Roman" w:cs="Times New Roman"/>
          <w:sz w:val="24"/>
          <w:szCs w:val="24"/>
        </w:rPr>
        <w:t xml:space="preserve">. </w:t>
      </w:r>
      <w:r w:rsidR="00535C05" w:rsidRPr="518F5682">
        <w:rPr>
          <w:rFonts w:ascii="Times New Roman" w:hAnsi="Times New Roman" w:cs="Times New Roman"/>
          <w:sz w:val="24"/>
          <w:szCs w:val="24"/>
        </w:rPr>
        <w:t xml:space="preserve">Természetesen </w:t>
      </w:r>
      <w:r w:rsidR="004B1FAE" w:rsidRPr="518F5682">
        <w:rPr>
          <w:rFonts w:ascii="Times New Roman" w:hAnsi="Times New Roman" w:cs="Times New Roman"/>
          <w:sz w:val="24"/>
          <w:szCs w:val="24"/>
        </w:rPr>
        <w:t xml:space="preserve">ez esetekben is </w:t>
      </w:r>
      <w:r w:rsidR="00535C05" w:rsidRPr="518F5682">
        <w:rPr>
          <w:rFonts w:ascii="Times New Roman" w:hAnsi="Times New Roman" w:cs="Times New Roman"/>
          <w:sz w:val="24"/>
          <w:szCs w:val="24"/>
        </w:rPr>
        <w:t xml:space="preserve">a </w:t>
      </w:r>
      <w:r w:rsidR="004B1FAE" w:rsidRPr="518F5682">
        <w:rPr>
          <w:rFonts w:ascii="Times New Roman" w:hAnsi="Times New Roman" w:cs="Times New Roman"/>
          <w:sz w:val="24"/>
          <w:szCs w:val="24"/>
        </w:rPr>
        <w:t>tanulási eredményeket kell igazolni, tehát e tekintetben az igazolás elválik a kreditigazolástól.</w:t>
      </w:r>
    </w:p>
    <w:p w14:paraId="3B4FC733" w14:textId="77777777" w:rsidR="00C82553" w:rsidRDefault="0054361A" w:rsidP="00BB3BA3">
      <w:pPr>
        <w:jc w:val="both"/>
        <w:rPr>
          <w:rFonts w:ascii="Times New Roman" w:hAnsi="Times New Roman" w:cs="Times New Roman"/>
          <w:sz w:val="24"/>
          <w:szCs w:val="24"/>
        </w:rPr>
      </w:pPr>
      <w:r w:rsidRPr="518F5682">
        <w:rPr>
          <w:rFonts w:ascii="Times New Roman" w:hAnsi="Times New Roman" w:cs="Times New Roman"/>
          <w:sz w:val="24"/>
          <w:szCs w:val="24"/>
        </w:rPr>
        <w:t xml:space="preserve">Nem kizárt természetesen, hogy </w:t>
      </w:r>
      <w:r w:rsidR="0008197E" w:rsidRPr="518F5682">
        <w:rPr>
          <w:rFonts w:ascii="Times New Roman" w:hAnsi="Times New Roman" w:cs="Times New Roman"/>
          <w:sz w:val="24"/>
          <w:szCs w:val="24"/>
        </w:rPr>
        <w:t xml:space="preserve">egyetlen kurzus is </w:t>
      </w:r>
      <w:r w:rsidR="00873565" w:rsidRPr="518F5682">
        <w:rPr>
          <w:rFonts w:ascii="Times New Roman" w:hAnsi="Times New Roman" w:cs="Times New Roman"/>
          <w:sz w:val="24"/>
          <w:szCs w:val="24"/>
        </w:rPr>
        <w:t>képes legyen valós munkaerőpiaci vagy társadalmi igények kielégítésére</w:t>
      </w:r>
      <w:r w:rsidR="00F72689" w:rsidRPr="518F5682">
        <w:rPr>
          <w:rFonts w:ascii="Times New Roman" w:hAnsi="Times New Roman" w:cs="Times New Roman"/>
          <w:sz w:val="24"/>
          <w:szCs w:val="24"/>
        </w:rPr>
        <w:t xml:space="preserve">, ez esetben viszont ezt is át kell futtatni a belső minőségellenőrzési (bejelentési) rendszeren ahhoz, hogy a nemzetközileg </w:t>
      </w:r>
      <w:r w:rsidR="00C82553" w:rsidRPr="518F5682">
        <w:rPr>
          <w:rFonts w:ascii="Times New Roman" w:hAnsi="Times New Roman" w:cs="Times New Roman"/>
          <w:sz w:val="24"/>
          <w:szCs w:val="24"/>
        </w:rPr>
        <w:t>valid mikrotanúsítvány kiállítható legyen.</w:t>
      </w:r>
    </w:p>
    <w:p w14:paraId="493D5EC2" w14:textId="77777777" w:rsidR="00437788" w:rsidRDefault="00C82553" w:rsidP="00BB3BA3">
      <w:pPr>
        <w:jc w:val="both"/>
        <w:rPr>
          <w:rFonts w:ascii="Times New Roman" w:hAnsi="Times New Roman" w:cs="Times New Roman"/>
          <w:sz w:val="24"/>
          <w:szCs w:val="24"/>
        </w:rPr>
      </w:pPr>
      <w:r w:rsidRPr="518F5682">
        <w:rPr>
          <w:rFonts w:ascii="Times New Roman" w:hAnsi="Times New Roman" w:cs="Times New Roman"/>
          <w:sz w:val="24"/>
          <w:szCs w:val="24"/>
        </w:rPr>
        <w:t xml:space="preserve">Az uniós ajánlásban foglalt és tételezett mikrotanúsítványhoz leginkább </w:t>
      </w:r>
      <w:r w:rsidR="00E026E9" w:rsidRPr="518F5682">
        <w:rPr>
          <w:rFonts w:ascii="Times New Roman" w:hAnsi="Times New Roman" w:cs="Times New Roman"/>
          <w:sz w:val="24"/>
          <w:szCs w:val="24"/>
        </w:rPr>
        <w:t xml:space="preserve">az Nftv </w:t>
      </w:r>
      <w:r w:rsidR="007A2013" w:rsidRPr="518F5682">
        <w:rPr>
          <w:rFonts w:ascii="Times New Roman" w:hAnsi="Times New Roman" w:cs="Times New Roman"/>
          <w:sz w:val="24"/>
          <w:szCs w:val="24"/>
        </w:rPr>
        <w:t>42.§ (2) szakaszában körülírt részismereti képzés hasonlít. Ennek értelmében „A felsőoktatási intézmény a vele hallgatói jogviszonyban nem álló személyeket – részismereti képzés céljából – hallgatói jogviszony keretében, az intézmény bármely kurzusára, moduljára – külön felvételi eljárás nélkül – önköltséges képzésre felveheti. Az intézmény a tanulmányi teljesítményről a tanulmányi rendszeréből a tárgyleírást (tematika) is tartalmazó mikrotanúsítványt köteles kiállítani. Az elvégzett kurzus, modul teljesítése felsőfokú tanulmányokba a kreditátvitel szabályai szerint beszámítható</w:t>
      </w:r>
      <w:r w:rsidR="00437788" w:rsidRPr="518F5682">
        <w:rPr>
          <w:rFonts w:ascii="Times New Roman" w:hAnsi="Times New Roman" w:cs="Times New Roman"/>
          <w:sz w:val="24"/>
          <w:szCs w:val="24"/>
        </w:rPr>
        <w:t>”</w:t>
      </w:r>
      <w:r w:rsidR="007A2013" w:rsidRPr="518F5682">
        <w:rPr>
          <w:rFonts w:ascii="Times New Roman" w:hAnsi="Times New Roman" w:cs="Times New Roman"/>
          <w:sz w:val="24"/>
          <w:szCs w:val="24"/>
        </w:rPr>
        <w:t>.</w:t>
      </w:r>
      <w:r w:rsidR="00437788" w:rsidRPr="518F5682">
        <w:rPr>
          <w:rFonts w:ascii="Times New Roman" w:hAnsi="Times New Roman" w:cs="Times New Roman"/>
          <w:sz w:val="24"/>
          <w:szCs w:val="24"/>
        </w:rPr>
        <w:t xml:space="preserve"> </w:t>
      </w:r>
    </w:p>
    <w:p w14:paraId="46B315B8" w14:textId="0F401415" w:rsidR="003A6FD4" w:rsidRDefault="00437788" w:rsidP="00BB3BA3">
      <w:pPr>
        <w:jc w:val="both"/>
        <w:rPr>
          <w:rFonts w:ascii="Times New Roman" w:hAnsi="Times New Roman" w:cs="Times New Roman"/>
          <w:sz w:val="24"/>
          <w:szCs w:val="24"/>
        </w:rPr>
      </w:pPr>
      <w:r w:rsidRPr="518F5682">
        <w:rPr>
          <w:rFonts w:ascii="Times New Roman" w:hAnsi="Times New Roman" w:cs="Times New Roman"/>
          <w:sz w:val="24"/>
          <w:szCs w:val="24"/>
        </w:rPr>
        <w:t>A mikrotanústvány definíciójában 2024 januárja óta szereplő</w:t>
      </w:r>
      <w:r w:rsidR="00223B0D" w:rsidRPr="518F5682">
        <w:rPr>
          <w:rFonts w:ascii="Times New Roman" w:hAnsi="Times New Roman" w:cs="Times New Roman"/>
          <w:sz w:val="24"/>
          <w:szCs w:val="24"/>
        </w:rPr>
        <w:t xml:space="preserve"> mikrokurzus pedig azt erősíti, hogy </w:t>
      </w:r>
      <w:r w:rsidR="00061DCA" w:rsidRPr="518F5682">
        <w:rPr>
          <w:rFonts w:ascii="Times New Roman" w:hAnsi="Times New Roman" w:cs="Times New Roman"/>
          <w:sz w:val="24"/>
          <w:szCs w:val="24"/>
        </w:rPr>
        <w:t xml:space="preserve">az ilyen kurzus </w:t>
      </w:r>
      <w:r w:rsidR="00E672C2">
        <w:rPr>
          <w:rFonts w:ascii="Times New Roman" w:hAnsi="Times New Roman" w:cs="Times New Roman"/>
          <w:sz w:val="24"/>
          <w:szCs w:val="24"/>
        </w:rPr>
        <w:t>felt</w:t>
      </w:r>
      <w:r w:rsidR="009C4E2F">
        <w:rPr>
          <w:rFonts w:ascii="Times New Roman" w:hAnsi="Times New Roman" w:cs="Times New Roman"/>
          <w:sz w:val="24"/>
          <w:szCs w:val="24"/>
        </w:rPr>
        <w:t>ehetően</w:t>
      </w:r>
      <w:r w:rsidR="00061DCA" w:rsidRPr="518F5682">
        <w:rPr>
          <w:rFonts w:ascii="Times New Roman" w:hAnsi="Times New Roman" w:cs="Times New Roman"/>
          <w:sz w:val="24"/>
          <w:szCs w:val="24"/>
        </w:rPr>
        <w:t xml:space="preserve"> nem csak már létező, egy adott program részeként futó kurzus lehet, hanem </w:t>
      </w:r>
      <w:r w:rsidR="001E642D" w:rsidRPr="518F5682">
        <w:rPr>
          <w:rFonts w:ascii="Times New Roman" w:hAnsi="Times New Roman" w:cs="Times New Roman"/>
          <w:sz w:val="24"/>
          <w:szCs w:val="24"/>
        </w:rPr>
        <w:t>kifejezetten mikrotanúsítványos képzésnek létrehozott képzés is</w:t>
      </w:r>
      <w:r w:rsidR="003A6FD4" w:rsidRPr="518F5682">
        <w:rPr>
          <w:rFonts w:ascii="Times New Roman" w:hAnsi="Times New Roman" w:cs="Times New Roman"/>
          <w:sz w:val="24"/>
          <w:szCs w:val="24"/>
        </w:rPr>
        <w:t>.</w:t>
      </w:r>
    </w:p>
    <w:p w14:paraId="517183B9" w14:textId="07333776" w:rsidR="00780AEA" w:rsidRPr="00380E1A" w:rsidRDefault="003A6FD4" w:rsidP="00380E1A">
      <w:pPr>
        <w:pStyle w:val="Listaszerbekezds"/>
        <w:numPr>
          <w:ilvl w:val="0"/>
          <w:numId w:val="3"/>
        </w:numPr>
        <w:jc w:val="both"/>
        <w:rPr>
          <w:rFonts w:ascii="Times New Roman" w:hAnsi="Times New Roman" w:cs="Times New Roman"/>
          <w:b/>
          <w:bCs/>
          <w:sz w:val="24"/>
          <w:szCs w:val="24"/>
        </w:rPr>
      </w:pPr>
      <w:r w:rsidRPr="00380E1A">
        <w:rPr>
          <w:rFonts w:ascii="Times New Roman" w:hAnsi="Times New Roman" w:cs="Times New Roman"/>
          <w:b/>
          <w:bCs/>
          <w:sz w:val="24"/>
          <w:szCs w:val="24"/>
        </w:rPr>
        <w:t xml:space="preserve">Miért fontos, hogy </w:t>
      </w:r>
      <w:r w:rsidR="00780AEA" w:rsidRPr="00380E1A">
        <w:rPr>
          <w:rFonts w:ascii="Times New Roman" w:hAnsi="Times New Roman" w:cs="Times New Roman"/>
          <w:b/>
          <w:bCs/>
          <w:sz w:val="24"/>
          <w:szCs w:val="24"/>
        </w:rPr>
        <w:t>a mikrotanúsítványos képzés az ELTE-n minőségellenőrzésen menjen keresztül?</w:t>
      </w:r>
    </w:p>
    <w:p w14:paraId="59666A44" w14:textId="77777777" w:rsidR="00682B16" w:rsidRDefault="00A10F21" w:rsidP="00BB3BA3">
      <w:pPr>
        <w:jc w:val="both"/>
        <w:rPr>
          <w:rFonts w:ascii="Times New Roman" w:hAnsi="Times New Roman" w:cs="Times New Roman"/>
          <w:sz w:val="24"/>
          <w:szCs w:val="24"/>
        </w:rPr>
      </w:pPr>
      <w:r>
        <w:rPr>
          <w:rFonts w:ascii="Times New Roman" w:hAnsi="Times New Roman" w:cs="Times New Roman"/>
          <w:sz w:val="24"/>
          <w:szCs w:val="24"/>
        </w:rPr>
        <w:t>Mint fentebb bemutattuk, az uniós értelemben vett</w:t>
      </w:r>
      <w:r w:rsidR="0013352D">
        <w:rPr>
          <w:rFonts w:ascii="Times New Roman" w:hAnsi="Times New Roman" w:cs="Times New Roman"/>
          <w:sz w:val="24"/>
          <w:szCs w:val="24"/>
        </w:rPr>
        <w:t xml:space="preserve"> mikrotanúsítványos képzés feltétele, hogy belső, intézményi minőségbiztosításon is menjen keresztül azon túl, hogy a kibocsátó intézmény </w:t>
      </w:r>
      <w:r w:rsidR="00682B16">
        <w:rPr>
          <w:rFonts w:ascii="Times New Roman" w:hAnsi="Times New Roman" w:cs="Times New Roman"/>
          <w:sz w:val="24"/>
          <w:szCs w:val="24"/>
        </w:rPr>
        <w:t>eleve minőségbiztosított.</w:t>
      </w:r>
    </w:p>
    <w:p w14:paraId="51C0B48D" w14:textId="77777777" w:rsidR="003D761B" w:rsidRDefault="00682B16" w:rsidP="00BB3BA3">
      <w:pPr>
        <w:jc w:val="both"/>
        <w:rPr>
          <w:rFonts w:ascii="Times New Roman" w:hAnsi="Times New Roman" w:cs="Times New Roman"/>
          <w:sz w:val="24"/>
          <w:szCs w:val="24"/>
        </w:rPr>
      </w:pPr>
      <w:r>
        <w:rPr>
          <w:rFonts w:ascii="Times New Roman" w:hAnsi="Times New Roman" w:cs="Times New Roman"/>
          <w:sz w:val="24"/>
          <w:szCs w:val="24"/>
        </w:rPr>
        <w:t xml:space="preserve">Fontos, hogy az ELTE által </w:t>
      </w:r>
      <w:r w:rsidR="00E24972">
        <w:rPr>
          <w:rFonts w:ascii="Times New Roman" w:hAnsi="Times New Roman" w:cs="Times New Roman"/>
          <w:sz w:val="24"/>
          <w:szCs w:val="24"/>
        </w:rPr>
        <w:t>kínált</w:t>
      </w:r>
      <w:r>
        <w:rPr>
          <w:rFonts w:ascii="Times New Roman" w:hAnsi="Times New Roman" w:cs="Times New Roman"/>
          <w:sz w:val="24"/>
          <w:szCs w:val="24"/>
        </w:rPr>
        <w:t xml:space="preserve"> mikrotanúsítványo</w:t>
      </w:r>
      <w:r w:rsidR="00E24972">
        <w:rPr>
          <w:rFonts w:ascii="Times New Roman" w:hAnsi="Times New Roman" w:cs="Times New Roman"/>
          <w:sz w:val="24"/>
          <w:szCs w:val="24"/>
        </w:rPr>
        <w:t>s képzések esetében biztosított legyen, hogy azok megfelelnek az uniós ajánlásnak, valamint a</w:t>
      </w:r>
      <w:r w:rsidR="00403261">
        <w:rPr>
          <w:rFonts w:ascii="Times New Roman" w:hAnsi="Times New Roman" w:cs="Times New Roman"/>
          <w:sz w:val="24"/>
          <w:szCs w:val="24"/>
        </w:rPr>
        <w:t>z európai</w:t>
      </w:r>
      <w:r w:rsidR="00E24972">
        <w:rPr>
          <w:rFonts w:ascii="Times New Roman" w:hAnsi="Times New Roman" w:cs="Times New Roman"/>
          <w:sz w:val="24"/>
          <w:szCs w:val="24"/>
        </w:rPr>
        <w:t xml:space="preserve"> </w:t>
      </w:r>
      <w:r w:rsidR="00E337E8">
        <w:rPr>
          <w:rFonts w:ascii="Times New Roman" w:hAnsi="Times New Roman" w:cs="Times New Roman"/>
          <w:sz w:val="24"/>
          <w:szCs w:val="24"/>
        </w:rPr>
        <w:t>minősé</w:t>
      </w:r>
      <w:r w:rsidR="00403261">
        <w:rPr>
          <w:rFonts w:ascii="Times New Roman" w:hAnsi="Times New Roman" w:cs="Times New Roman"/>
          <w:sz w:val="24"/>
          <w:szCs w:val="24"/>
        </w:rPr>
        <w:t>gbiztosítási szervezetek ajánlásainak</w:t>
      </w:r>
      <w:r w:rsidR="00403261">
        <w:rPr>
          <w:rStyle w:val="Lbjegyzet-hivatkozs"/>
          <w:rFonts w:ascii="Times New Roman" w:hAnsi="Times New Roman" w:cs="Times New Roman"/>
          <w:sz w:val="24"/>
          <w:szCs w:val="24"/>
        </w:rPr>
        <w:footnoteReference w:id="3"/>
      </w:r>
      <w:r w:rsidR="00403261">
        <w:rPr>
          <w:rFonts w:ascii="Times New Roman" w:hAnsi="Times New Roman" w:cs="Times New Roman"/>
          <w:sz w:val="24"/>
          <w:szCs w:val="24"/>
        </w:rPr>
        <w:t>.</w:t>
      </w:r>
      <w:r w:rsidR="00EE2385">
        <w:rPr>
          <w:rFonts w:ascii="Times New Roman" w:hAnsi="Times New Roman" w:cs="Times New Roman"/>
          <w:sz w:val="24"/>
          <w:szCs w:val="24"/>
        </w:rPr>
        <w:t xml:space="preserve"> </w:t>
      </w:r>
      <w:r w:rsidR="00B94383">
        <w:rPr>
          <w:rFonts w:ascii="Times New Roman" w:hAnsi="Times New Roman" w:cs="Times New Roman"/>
          <w:sz w:val="24"/>
          <w:szCs w:val="24"/>
        </w:rPr>
        <w:t xml:space="preserve">Ezen felül </w:t>
      </w:r>
      <w:r w:rsidR="00D5728F">
        <w:rPr>
          <w:rFonts w:ascii="Times New Roman" w:hAnsi="Times New Roman" w:cs="Times New Roman"/>
          <w:sz w:val="24"/>
          <w:szCs w:val="24"/>
        </w:rPr>
        <w:t xml:space="preserve">a bejelentő űrlap, annak szempontjainak kialakításánál figyelembe </w:t>
      </w:r>
      <w:r w:rsidR="00D5728F">
        <w:rPr>
          <w:rFonts w:ascii="Times New Roman" w:hAnsi="Times New Roman" w:cs="Times New Roman"/>
          <w:sz w:val="24"/>
          <w:szCs w:val="24"/>
        </w:rPr>
        <w:lastRenderedPageBreak/>
        <w:t>vettük</w:t>
      </w:r>
      <w:r w:rsidR="00CB4E13">
        <w:rPr>
          <w:rFonts w:ascii="Times New Roman" w:hAnsi="Times New Roman" w:cs="Times New Roman"/>
          <w:sz w:val="24"/>
          <w:szCs w:val="24"/>
        </w:rPr>
        <w:t xml:space="preserve"> a CHARM</w:t>
      </w:r>
      <w:r w:rsidR="00C7376C">
        <w:rPr>
          <w:rFonts w:ascii="Times New Roman" w:hAnsi="Times New Roman" w:cs="Times New Roman"/>
          <w:sz w:val="24"/>
          <w:szCs w:val="24"/>
        </w:rPr>
        <w:t>-EU keretében szerzett tapasztalatokat, valamint a CHARM partnerek (elsősorban a D</w:t>
      </w:r>
      <w:r w:rsidR="000E6AF5">
        <w:rPr>
          <w:rFonts w:ascii="Times New Roman" w:hAnsi="Times New Roman" w:cs="Times New Roman"/>
          <w:sz w:val="24"/>
          <w:szCs w:val="24"/>
        </w:rPr>
        <w:t>ublini Trinity College</w:t>
      </w:r>
      <w:r w:rsidR="000348BC">
        <w:rPr>
          <w:rFonts w:ascii="Times New Roman" w:hAnsi="Times New Roman" w:cs="Times New Roman"/>
          <w:sz w:val="24"/>
          <w:szCs w:val="24"/>
        </w:rPr>
        <w:t xml:space="preserve">, illetve az Utrechti Egyetem) már rendelkezésre álló </w:t>
      </w:r>
      <w:r w:rsidR="003D761B">
        <w:rPr>
          <w:rFonts w:ascii="Times New Roman" w:hAnsi="Times New Roman" w:cs="Times New Roman"/>
          <w:sz w:val="24"/>
          <w:szCs w:val="24"/>
        </w:rPr>
        <w:t>megoldásait.</w:t>
      </w:r>
    </w:p>
    <w:p w14:paraId="34B18BF2" w14:textId="51D6CFCE" w:rsidR="009777DC" w:rsidRDefault="003D761B" w:rsidP="00BB3BA3">
      <w:pPr>
        <w:jc w:val="both"/>
        <w:rPr>
          <w:rFonts w:ascii="Times New Roman" w:hAnsi="Times New Roman" w:cs="Times New Roman"/>
          <w:sz w:val="24"/>
          <w:szCs w:val="24"/>
        </w:rPr>
      </w:pPr>
      <w:r w:rsidRPr="518F5682">
        <w:rPr>
          <w:rFonts w:ascii="Times New Roman" w:hAnsi="Times New Roman" w:cs="Times New Roman"/>
          <w:sz w:val="24"/>
          <w:szCs w:val="24"/>
        </w:rPr>
        <w:t xml:space="preserve">Ennek értelmében </w:t>
      </w:r>
      <w:r w:rsidR="00EE1FC1" w:rsidRPr="518F5682">
        <w:rPr>
          <w:rFonts w:ascii="Times New Roman" w:hAnsi="Times New Roman" w:cs="Times New Roman"/>
          <w:sz w:val="24"/>
          <w:szCs w:val="24"/>
        </w:rPr>
        <w:t>jelen előterjesztés arra tesz javaslatot, hogy a mikrotanúsítványos képzést</w:t>
      </w:r>
      <w:r w:rsidR="00B660C1" w:rsidRPr="518F5682">
        <w:rPr>
          <w:rFonts w:ascii="Times New Roman" w:hAnsi="Times New Roman" w:cs="Times New Roman"/>
          <w:sz w:val="24"/>
          <w:szCs w:val="24"/>
        </w:rPr>
        <w:t xml:space="preserve"> a képzést indítani kívánó kar egy erre rendszeresített </w:t>
      </w:r>
      <w:r w:rsidR="29BF1218" w:rsidRPr="518F5682">
        <w:rPr>
          <w:rFonts w:ascii="Times New Roman" w:hAnsi="Times New Roman" w:cs="Times New Roman"/>
          <w:sz w:val="24"/>
          <w:szCs w:val="24"/>
        </w:rPr>
        <w:t>ű</w:t>
      </w:r>
      <w:r w:rsidR="00B660C1" w:rsidRPr="518F5682">
        <w:rPr>
          <w:rFonts w:ascii="Times New Roman" w:hAnsi="Times New Roman" w:cs="Times New Roman"/>
          <w:sz w:val="24"/>
          <w:szCs w:val="24"/>
        </w:rPr>
        <w:t>rlapon jelentse be</w:t>
      </w:r>
      <w:r w:rsidR="00284E8B" w:rsidRPr="518F5682">
        <w:rPr>
          <w:rFonts w:ascii="Times New Roman" w:hAnsi="Times New Roman" w:cs="Times New Roman"/>
          <w:sz w:val="24"/>
          <w:szCs w:val="24"/>
        </w:rPr>
        <w:t xml:space="preserve"> az Oktatási </w:t>
      </w:r>
      <w:r w:rsidR="002E6186">
        <w:rPr>
          <w:rFonts w:ascii="Times New Roman" w:hAnsi="Times New Roman" w:cs="Times New Roman"/>
          <w:sz w:val="24"/>
          <w:szCs w:val="24"/>
        </w:rPr>
        <w:t>és Képzési Tanács</w:t>
      </w:r>
      <w:r w:rsidR="00284E8B" w:rsidRPr="518F5682">
        <w:rPr>
          <w:rFonts w:ascii="Times New Roman" w:hAnsi="Times New Roman" w:cs="Times New Roman"/>
          <w:sz w:val="24"/>
          <w:szCs w:val="24"/>
        </w:rPr>
        <w:t xml:space="preserve"> számára, amely</w:t>
      </w:r>
      <w:r w:rsidR="00803986" w:rsidRPr="518F5682">
        <w:rPr>
          <w:rFonts w:ascii="Times New Roman" w:hAnsi="Times New Roman" w:cs="Times New Roman"/>
          <w:sz w:val="24"/>
          <w:szCs w:val="24"/>
        </w:rPr>
        <w:t xml:space="preserve"> eze</w:t>
      </w:r>
      <w:r w:rsidR="002E6186">
        <w:rPr>
          <w:rFonts w:ascii="Times New Roman" w:hAnsi="Times New Roman" w:cs="Times New Roman"/>
          <w:sz w:val="24"/>
          <w:szCs w:val="24"/>
        </w:rPr>
        <w:t xml:space="preserve">n </w:t>
      </w:r>
      <w:r w:rsidR="00803986" w:rsidRPr="518F5682">
        <w:rPr>
          <w:rFonts w:ascii="Times New Roman" w:hAnsi="Times New Roman" w:cs="Times New Roman"/>
          <w:sz w:val="24"/>
          <w:szCs w:val="24"/>
        </w:rPr>
        <w:t>képzések</w:t>
      </w:r>
      <w:r w:rsidR="002E6186">
        <w:rPr>
          <w:rFonts w:ascii="Times New Roman" w:hAnsi="Times New Roman" w:cs="Times New Roman"/>
          <w:sz w:val="24"/>
          <w:szCs w:val="24"/>
        </w:rPr>
        <w:t xml:space="preserve"> létesítéséről és indításáról dönt</w:t>
      </w:r>
      <w:r w:rsidR="00803986" w:rsidRPr="518F5682">
        <w:rPr>
          <w:rFonts w:ascii="Times New Roman" w:hAnsi="Times New Roman" w:cs="Times New Roman"/>
          <w:sz w:val="24"/>
          <w:szCs w:val="24"/>
        </w:rPr>
        <w:t>.</w:t>
      </w:r>
      <w:r w:rsidR="002E6186">
        <w:rPr>
          <w:rFonts w:ascii="Times New Roman" w:hAnsi="Times New Roman" w:cs="Times New Roman"/>
          <w:sz w:val="24"/>
          <w:szCs w:val="24"/>
        </w:rPr>
        <w:t xml:space="preserve"> Az OKT által támogatott mikrotanúsítványos képzésekről az Oktatási Igazgatóság vezet nyilvántartást.</w:t>
      </w:r>
      <w:r w:rsidR="00803986" w:rsidRPr="518F5682">
        <w:rPr>
          <w:rFonts w:ascii="Times New Roman" w:hAnsi="Times New Roman" w:cs="Times New Roman"/>
          <w:sz w:val="24"/>
          <w:szCs w:val="24"/>
        </w:rPr>
        <w:t xml:space="preserve"> </w:t>
      </w:r>
      <w:r w:rsidR="00BB6748" w:rsidRPr="518F5682">
        <w:rPr>
          <w:rFonts w:ascii="Times New Roman" w:hAnsi="Times New Roman" w:cs="Times New Roman"/>
          <w:sz w:val="24"/>
          <w:szCs w:val="24"/>
        </w:rPr>
        <w:t xml:space="preserve">Ilyen nyilvántartási kötelezettsége a felsőoktatási intézménynek egyébként az 51.§ </w:t>
      </w:r>
      <w:r w:rsidR="00616159" w:rsidRPr="518F5682">
        <w:rPr>
          <w:rFonts w:ascii="Times New Roman" w:hAnsi="Times New Roman" w:cs="Times New Roman"/>
          <w:sz w:val="24"/>
          <w:szCs w:val="24"/>
        </w:rPr>
        <w:t>(7) bekezdése alapján nem csak a mikrotanúsítványos képzést lezáró, hanem valamennyi mikrotanústvány esetében</w:t>
      </w:r>
      <w:r w:rsidR="00650D43" w:rsidRPr="518F5682">
        <w:rPr>
          <w:rFonts w:ascii="Times New Roman" w:hAnsi="Times New Roman" w:cs="Times New Roman"/>
          <w:sz w:val="24"/>
          <w:szCs w:val="24"/>
        </w:rPr>
        <w:t xml:space="preserve"> fennáll.</w:t>
      </w:r>
      <w:r w:rsidR="009777DC" w:rsidRPr="518F5682">
        <w:rPr>
          <w:rFonts w:ascii="Times New Roman" w:hAnsi="Times New Roman" w:cs="Times New Roman"/>
          <w:sz w:val="24"/>
          <w:szCs w:val="24"/>
        </w:rPr>
        <w:t xml:space="preserve"> </w:t>
      </w:r>
    </w:p>
    <w:p w14:paraId="07A68B64" w14:textId="77777777" w:rsidR="00F06446" w:rsidRDefault="009777DC" w:rsidP="00BB3BA3">
      <w:pPr>
        <w:jc w:val="both"/>
        <w:rPr>
          <w:rFonts w:ascii="Times New Roman" w:hAnsi="Times New Roman" w:cs="Times New Roman"/>
          <w:sz w:val="24"/>
          <w:szCs w:val="24"/>
        </w:rPr>
      </w:pPr>
      <w:r w:rsidRPr="518F5682">
        <w:rPr>
          <w:rFonts w:ascii="Times New Roman" w:hAnsi="Times New Roman" w:cs="Times New Roman"/>
          <w:sz w:val="24"/>
          <w:szCs w:val="24"/>
        </w:rPr>
        <w:t xml:space="preserve">A </w:t>
      </w:r>
      <w:r w:rsidR="00380E1A" w:rsidRPr="518F5682">
        <w:rPr>
          <w:rFonts w:ascii="Times New Roman" w:hAnsi="Times New Roman" w:cs="Times New Roman"/>
          <w:sz w:val="24"/>
          <w:szCs w:val="24"/>
        </w:rPr>
        <w:t>bejelentő űrlap</w:t>
      </w:r>
      <w:r w:rsidRPr="518F5682">
        <w:rPr>
          <w:rFonts w:ascii="Times New Roman" w:hAnsi="Times New Roman" w:cs="Times New Roman"/>
          <w:sz w:val="24"/>
          <w:szCs w:val="24"/>
        </w:rPr>
        <w:t xml:space="preserve"> a szükséges technikai nyilvántartási adatokon felül elsősorban azt kéri a képzést indítani kívánó kartól, hogy</w:t>
      </w:r>
      <w:r w:rsidR="00380E1A" w:rsidRPr="518F5682">
        <w:rPr>
          <w:rFonts w:ascii="Times New Roman" w:hAnsi="Times New Roman" w:cs="Times New Roman"/>
          <w:sz w:val="24"/>
          <w:szCs w:val="24"/>
        </w:rPr>
        <w:t xml:space="preserve"> adja meg a mikrotanúsítványos képzés típusát, vagyis azt, hogy az önálló, létező képzési programoktól független vagy létező képzési program része; milyen formában kívánja az érintett kar a képzést nyújtani; milyen konkrét munkaerőpiaci, társadalmi vagy személyes igényeket kíván eleget tenni és ezen belül milyen szűkebb értelemben vett célja van; kik számára lehet a képzés fontos és miért; milyen, az igazolásban is megjelenő tantárgyi tematikával bír; milyen tanulási eredmények igazolására lesz alkalmas és ezeket hogyan és milyen módszerekkel kívánja mérni.</w:t>
      </w:r>
    </w:p>
    <w:p w14:paraId="624554F4" w14:textId="61DC39F0" w:rsidR="000055BA" w:rsidRPr="00F06446" w:rsidRDefault="00F06446" w:rsidP="000055BA">
      <w:pPr>
        <w:pStyle w:val="Listaszerbekezds"/>
        <w:numPr>
          <w:ilvl w:val="0"/>
          <w:numId w:val="3"/>
        </w:numPr>
        <w:jc w:val="both"/>
        <w:rPr>
          <w:rFonts w:ascii="Times New Roman" w:hAnsi="Times New Roman" w:cs="Times New Roman"/>
          <w:b/>
          <w:bCs/>
          <w:sz w:val="24"/>
          <w:szCs w:val="24"/>
        </w:rPr>
      </w:pPr>
      <w:r w:rsidRPr="00F06446">
        <w:rPr>
          <w:rFonts w:ascii="Times New Roman" w:hAnsi="Times New Roman" w:cs="Times New Roman"/>
          <w:b/>
          <w:bCs/>
          <w:sz w:val="24"/>
          <w:szCs w:val="24"/>
        </w:rPr>
        <w:t>Az igazolás jellemzői</w:t>
      </w:r>
      <w:r w:rsidR="009777DC" w:rsidRPr="00F06446">
        <w:rPr>
          <w:rFonts w:ascii="Times New Roman" w:hAnsi="Times New Roman" w:cs="Times New Roman"/>
          <w:b/>
          <w:bCs/>
          <w:sz w:val="24"/>
          <w:szCs w:val="24"/>
        </w:rPr>
        <w:t xml:space="preserve"> </w:t>
      </w:r>
      <w:r w:rsidR="00780AEA" w:rsidRPr="00F06446">
        <w:rPr>
          <w:rFonts w:ascii="Times New Roman" w:hAnsi="Times New Roman" w:cs="Times New Roman"/>
          <w:b/>
          <w:bCs/>
          <w:sz w:val="24"/>
          <w:szCs w:val="24"/>
        </w:rPr>
        <w:t xml:space="preserve"> </w:t>
      </w:r>
      <w:r w:rsidR="004B1FAE" w:rsidRPr="00F06446">
        <w:rPr>
          <w:rFonts w:ascii="Times New Roman" w:hAnsi="Times New Roman" w:cs="Times New Roman"/>
          <w:b/>
          <w:bCs/>
          <w:sz w:val="24"/>
          <w:szCs w:val="24"/>
        </w:rPr>
        <w:t xml:space="preserve"> </w:t>
      </w:r>
      <w:r w:rsidR="00B52813" w:rsidRPr="00F06446">
        <w:rPr>
          <w:rFonts w:ascii="Times New Roman" w:hAnsi="Times New Roman" w:cs="Times New Roman"/>
          <w:b/>
          <w:bCs/>
          <w:sz w:val="24"/>
          <w:szCs w:val="24"/>
        </w:rPr>
        <w:t xml:space="preserve"> </w:t>
      </w:r>
      <w:r w:rsidR="00DE197C" w:rsidRPr="00F06446">
        <w:rPr>
          <w:rFonts w:ascii="Times New Roman" w:hAnsi="Times New Roman" w:cs="Times New Roman"/>
          <w:sz w:val="24"/>
          <w:szCs w:val="24"/>
        </w:rPr>
        <w:t xml:space="preserve"> </w:t>
      </w:r>
      <w:r w:rsidR="00A10DEC" w:rsidRPr="00F06446">
        <w:rPr>
          <w:rFonts w:ascii="Times New Roman" w:hAnsi="Times New Roman" w:cs="Times New Roman"/>
          <w:sz w:val="24"/>
          <w:szCs w:val="24"/>
        </w:rPr>
        <w:t xml:space="preserve"> </w:t>
      </w:r>
    </w:p>
    <w:p w14:paraId="734ADAB7" w14:textId="38EEE156" w:rsidR="002C6907" w:rsidRDefault="00F06446" w:rsidP="00D90170">
      <w:pPr>
        <w:jc w:val="both"/>
        <w:rPr>
          <w:rFonts w:ascii="Times New Roman" w:hAnsi="Times New Roman" w:cs="Times New Roman"/>
          <w:sz w:val="24"/>
          <w:szCs w:val="24"/>
        </w:rPr>
      </w:pPr>
      <w:r w:rsidRPr="518F5682">
        <w:rPr>
          <w:rFonts w:ascii="Times New Roman" w:hAnsi="Times New Roman" w:cs="Times New Roman"/>
          <w:sz w:val="24"/>
          <w:szCs w:val="24"/>
        </w:rPr>
        <w:t>Az Nftv</w:t>
      </w:r>
      <w:r w:rsidR="002E6186">
        <w:rPr>
          <w:rFonts w:ascii="Times New Roman" w:hAnsi="Times New Roman" w:cs="Times New Roman"/>
          <w:sz w:val="24"/>
          <w:szCs w:val="24"/>
        </w:rPr>
        <w:t>.</w:t>
      </w:r>
      <w:r w:rsidRPr="518F5682">
        <w:rPr>
          <w:rFonts w:ascii="Times New Roman" w:hAnsi="Times New Roman" w:cs="Times New Roman"/>
          <w:sz w:val="24"/>
          <w:szCs w:val="24"/>
        </w:rPr>
        <w:t xml:space="preserve"> értelmében a mikrotanúsítvány közokirat, amelynek kötelezően tartalmaznia kell a tárgyleírásokat és a kreditértéket</w:t>
      </w:r>
      <w:r w:rsidR="002C6907" w:rsidRPr="518F5682">
        <w:rPr>
          <w:rFonts w:ascii="Times New Roman" w:hAnsi="Times New Roman" w:cs="Times New Roman"/>
          <w:sz w:val="24"/>
          <w:szCs w:val="24"/>
        </w:rPr>
        <w:t>. Ezen felül a mikrotanúsítvány kötelező tartalmi elemeit miniszteri rendelet fogja meghatározni</w:t>
      </w:r>
      <w:r w:rsidR="002478C5">
        <w:rPr>
          <w:rFonts w:ascii="Times New Roman" w:hAnsi="Times New Roman" w:cs="Times New Roman"/>
          <w:sz w:val="24"/>
          <w:szCs w:val="24"/>
        </w:rPr>
        <w:t xml:space="preserve"> (feltehetően az uniós ajánlás elemeit követve)</w:t>
      </w:r>
      <w:r w:rsidR="002C6907" w:rsidRPr="518F5682">
        <w:rPr>
          <w:rFonts w:ascii="Times New Roman" w:hAnsi="Times New Roman" w:cs="Times New Roman"/>
          <w:sz w:val="24"/>
          <w:szCs w:val="24"/>
        </w:rPr>
        <w:t>, amelynek a kibocsátására még nem került sor. E tartalmi elemeket fogja megjeleníteni a NEPTUN sablonja is, egyelőre nem ismert</w:t>
      </w:r>
      <w:r w:rsidR="17FE3AB5" w:rsidRPr="518F5682">
        <w:rPr>
          <w:rFonts w:ascii="Times New Roman" w:hAnsi="Times New Roman" w:cs="Times New Roman"/>
          <w:sz w:val="24"/>
          <w:szCs w:val="24"/>
        </w:rPr>
        <w:t>,</w:t>
      </w:r>
      <w:r w:rsidR="002C6907" w:rsidRPr="518F5682">
        <w:rPr>
          <w:rFonts w:ascii="Times New Roman" w:hAnsi="Times New Roman" w:cs="Times New Roman"/>
          <w:sz w:val="24"/>
          <w:szCs w:val="24"/>
        </w:rPr>
        <w:t xml:space="preserve"> hogy más vagy azonos formában a mikrotanúsítványos képzésekre és egyéb tárgyakr</w:t>
      </w:r>
      <w:r w:rsidR="0AF0A2B3" w:rsidRPr="518F5682">
        <w:rPr>
          <w:rFonts w:ascii="Times New Roman" w:hAnsi="Times New Roman" w:cs="Times New Roman"/>
          <w:sz w:val="24"/>
          <w:szCs w:val="24"/>
        </w:rPr>
        <w:t>a</w:t>
      </w:r>
      <w:r w:rsidR="002C6907" w:rsidRPr="518F5682">
        <w:rPr>
          <w:rFonts w:ascii="Times New Roman" w:hAnsi="Times New Roman" w:cs="Times New Roman"/>
          <w:sz w:val="24"/>
          <w:szCs w:val="24"/>
        </w:rPr>
        <w:t xml:space="preserve"> kiállított igazolások esetében másképpen vagy azonosan. A kettő megkülönböztethetősége és a hordozhatóság biztosítása érdekében ugyanakkor az ELTE a belső minőségellenőrzésen átesett képzésekhez </w:t>
      </w:r>
      <w:r w:rsidR="5C4BAB54" w:rsidRPr="518F5682">
        <w:rPr>
          <w:rFonts w:ascii="Times New Roman" w:hAnsi="Times New Roman" w:cs="Times New Roman"/>
          <w:sz w:val="24"/>
          <w:szCs w:val="24"/>
        </w:rPr>
        <w:t xml:space="preserve">digitális </w:t>
      </w:r>
      <w:r w:rsidR="002C6907" w:rsidRPr="518F5682">
        <w:rPr>
          <w:rFonts w:ascii="Times New Roman" w:hAnsi="Times New Roman" w:cs="Times New Roman"/>
          <w:sz w:val="24"/>
          <w:szCs w:val="24"/>
        </w:rPr>
        <w:t>ELTE jelvényt is fog társítani (angol és magyar nyelven), amely az ELTE logóján felül tartalmazni fogja a kibocsátó kar elnevezését és az érintett képzés nevét.</w:t>
      </w:r>
    </w:p>
    <w:p w14:paraId="4F0B9FE2" w14:textId="294C1AA1" w:rsidR="00D86488" w:rsidRDefault="004270BF" w:rsidP="00D90170">
      <w:pPr>
        <w:jc w:val="both"/>
        <w:rPr>
          <w:rFonts w:ascii="Times New Roman" w:hAnsi="Times New Roman" w:cs="Times New Roman"/>
          <w:sz w:val="24"/>
          <w:szCs w:val="24"/>
        </w:rPr>
      </w:pPr>
      <w:r w:rsidRPr="518F5682">
        <w:rPr>
          <w:rFonts w:ascii="Times New Roman" w:hAnsi="Times New Roman" w:cs="Times New Roman"/>
          <w:sz w:val="24"/>
          <w:szCs w:val="24"/>
        </w:rPr>
        <w:t>ELTE mikrotanústvány jelvény</w:t>
      </w:r>
      <w:r w:rsidR="00537D5B">
        <w:rPr>
          <w:rFonts w:ascii="Times New Roman" w:hAnsi="Times New Roman" w:cs="Times New Roman"/>
          <w:sz w:val="24"/>
          <w:szCs w:val="24"/>
        </w:rPr>
        <w:t xml:space="preserve"> – design terv</w:t>
      </w:r>
    </w:p>
    <w:p w14:paraId="7117D1F4" w14:textId="7BDA0D88" w:rsidR="00D86488" w:rsidRDefault="00D86488" w:rsidP="00D90170">
      <w:pPr>
        <w:jc w:val="both"/>
        <w:rPr>
          <w:rFonts w:ascii="Times New Roman" w:hAnsi="Times New Roman" w:cs="Times New Roman"/>
          <w:sz w:val="24"/>
          <w:szCs w:val="24"/>
        </w:rPr>
      </w:pPr>
      <w:r>
        <w:rPr>
          <w:rFonts w:ascii="Times New Roman" w:hAnsi="Times New Roman" w:cs="Times New Roman"/>
          <w:noProof/>
          <w:sz w:val="24"/>
          <w:szCs w:val="24"/>
          <w:lang w:eastAsia="hu-HU"/>
        </w:rPr>
        <w:lastRenderedPageBreak/>
        <w:drawing>
          <wp:inline distT="0" distB="0" distL="0" distR="0" wp14:anchorId="240B3780" wp14:editId="3F476F5E">
            <wp:extent cx="1895021" cy="1896790"/>
            <wp:effectExtent l="0" t="0" r="0" b="8255"/>
            <wp:docPr id="1966353131" name="Kép 1" descr="A képen szöveg, embléma, Védjegy,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53131" name="Kép 1" descr="A képen szöveg, embléma, Védjegy, Betűtípus látható&#10;&#10;Automatikusan generált leírá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797" cy="1909578"/>
                    </a:xfrm>
                    <a:prstGeom prst="rect">
                      <a:avLst/>
                    </a:prstGeom>
                  </pic:spPr>
                </pic:pic>
              </a:graphicData>
            </a:graphic>
          </wp:inline>
        </w:drawing>
      </w:r>
      <w:r w:rsidR="00921D7C">
        <w:rPr>
          <w:rFonts w:ascii="Times New Roman" w:hAnsi="Times New Roman" w:cs="Times New Roman"/>
          <w:noProof/>
          <w:sz w:val="24"/>
          <w:szCs w:val="24"/>
          <w:lang w:eastAsia="hu-HU"/>
        </w:rPr>
        <w:drawing>
          <wp:inline distT="0" distB="0" distL="0" distR="0" wp14:anchorId="13435118" wp14:editId="49308C93">
            <wp:extent cx="1904732" cy="1904732"/>
            <wp:effectExtent l="0" t="0" r="635" b="635"/>
            <wp:docPr id="1675786905" name="Kép 1" descr="A képen szöveg, Betűtípus, embléma, Védjeg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86905" name="Kép 1" descr="A képen szöveg, Betűtípus, embléma, Védjegy látható&#10;&#10;Automatikusan generált leírá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7399" cy="1927399"/>
                    </a:xfrm>
                    <a:prstGeom prst="rect">
                      <a:avLst/>
                    </a:prstGeom>
                  </pic:spPr>
                </pic:pic>
              </a:graphicData>
            </a:graphic>
          </wp:inline>
        </w:drawing>
      </w:r>
      <w:r w:rsidR="00C2090C">
        <w:rPr>
          <w:rFonts w:ascii="Times New Roman" w:hAnsi="Times New Roman" w:cs="Times New Roman"/>
          <w:noProof/>
          <w:sz w:val="24"/>
          <w:szCs w:val="24"/>
          <w:lang w:eastAsia="hu-HU"/>
        </w:rPr>
        <w:drawing>
          <wp:inline distT="0" distB="0" distL="0" distR="0" wp14:anchorId="4078C8AD" wp14:editId="6D26C476">
            <wp:extent cx="1854620" cy="1854620"/>
            <wp:effectExtent l="0" t="0" r="0" b="0"/>
            <wp:docPr id="1299531625" name="Kép 2" descr="A képen szöveg, rajzfilm, anime,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31625" name="Kép 2" descr="A képen szöveg, rajzfilm, anime, Grafika látható&#10;&#10;Automatikusan generált leírá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4978" cy="1864978"/>
                    </a:xfrm>
                    <a:prstGeom prst="rect">
                      <a:avLst/>
                    </a:prstGeom>
                  </pic:spPr>
                </pic:pic>
              </a:graphicData>
            </a:graphic>
          </wp:inline>
        </w:drawing>
      </w:r>
    </w:p>
    <w:p w14:paraId="573A1209" w14:textId="50100095" w:rsidR="00BF7528" w:rsidRDefault="00192EAF" w:rsidP="00D90170">
      <w:pPr>
        <w:jc w:val="both"/>
        <w:rPr>
          <w:rFonts w:ascii="Times New Roman" w:hAnsi="Times New Roman" w:cs="Times New Roman"/>
          <w:sz w:val="24"/>
          <w:szCs w:val="24"/>
        </w:rPr>
      </w:pPr>
      <w:r>
        <w:rPr>
          <w:rFonts w:ascii="Times New Roman" w:hAnsi="Times New Roman" w:cs="Times New Roman"/>
          <w:sz w:val="24"/>
          <w:szCs w:val="24"/>
        </w:rPr>
        <w:t xml:space="preserve">A digitális jelvény </w:t>
      </w:r>
      <w:r w:rsidR="00AD4731">
        <w:rPr>
          <w:rFonts w:ascii="Times New Roman" w:hAnsi="Times New Roman" w:cs="Times New Roman"/>
          <w:sz w:val="24"/>
          <w:szCs w:val="24"/>
        </w:rPr>
        <w:t>pusztán reprezentálja a mikrotanúsítványt</w:t>
      </w:r>
      <w:r w:rsidR="00B65D9B">
        <w:rPr>
          <w:rFonts w:ascii="Times New Roman" w:hAnsi="Times New Roman" w:cs="Times New Roman"/>
          <w:sz w:val="24"/>
          <w:szCs w:val="24"/>
        </w:rPr>
        <w:t xml:space="preserve">, a </w:t>
      </w:r>
      <w:r w:rsidR="001342CC">
        <w:rPr>
          <w:rFonts w:ascii="Times New Roman" w:hAnsi="Times New Roman" w:cs="Times New Roman"/>
          <w:sz w:val="24"/>
          <w:szCs w:val="24"/>
        </w:rPr>
        <w:t xml:space="preserve">mögöttes tartalom </w:t>
      </w:r>
      <w:r w:rsidR="00D61615">
        <w:rPr>
          <w:rFonts w:ascii="Times New Roman" w:hAnsi="Times New Roman" w:cs="Times New Roman"/>
          <w:sz w:val="24"/>
          <w:szCs w:val="24"/>
        </w:rPr>
        <w:t>nemzetközi szabványok szerinti, transzparens és publikus</w:t>
      </w:r>
      <w:r w:rsidR="003556E5">
        <w:rPr>
          <w:rFonts w:ascii="Times New Roman" w:hAnsi="Times New Roman" w:cs="Times New Roman"/>
          <w:sz w:val="24"/>
          <w:szCs w:val="24"/>
        </w:rPr>
        <w:t xml:space="preserve"> metaadatbázisban van</w:t>
      </w:r>
      <w:r w:rsidR="00D61615">
        <w:rPr>
          <w:rFonts w:ascii="Times New Roman" w:hAnsi="Times New Roman" w:cs="Times New Roman"/>
          <w:sz w:val="24"/>
          <w:szCs w:val="24"/>
        </w:rPr>
        <w:t xml:space="preserve"> rögzítve</w:t>
      </w:r>
      <w:r w:rsidR="003556E5">
        <w:rPr>
          <w:rFonts w:ascii="Times New Roman" w:hAnsi="Times New Roman" w:cs="Times New Roman"/>
          <w:sz w:val="24"/>
          <w:szCs w:val="24"/>
        </w:rPr>
        <w:t xml:space="preserve">. </w:t>
      </w:r>
      <w:r w:rsidR="00153BBC" w:rsidRPr="518F5682">
        <w:rPr>
          <w:rFonts w:ascii="Times New Roman" w:hAnsi="Times New Roman" w:cs="Times New Roman"/>
          <w:sz w:val="24"/>
          <w:szCs w:val="24"/>
        </w:rPr>
        <w:t xml:space="preserve">Perspektívikusan </w:t>
      </w:r>
      <w:r w:rsidR="001A1355">
        <w:rPr>
          <w:rFonts w:ascii="Times New Roman" w:hAnsi="Times New Roman" w:cs="Times New Roman"/>
          <w:sz w:val="24"/>
          <w:szCs w:val="24"/>
        </w:rPr>
        <w:t>tehát</w:t>
      </w:r>
      <w:r w:rsidR="00153BBC" w:rsidRPr="518F5682">
        <w:rPr>
          <w:rFonts w:ascii="Times New Roman" w:hAnsi="Times New Roman" w:cs="Times New Roman"/>
          <w:sz w:val="24"/>
          <w:szCs w:val="24"/>
        </w:rPr>
        <w:t xml:space="preserve"> </w:t>
      </w:r>
      <w:r w:rsidR="007F09DC" w:rsidRPr="518F5682">
        <w:rPr>
          <w:rFonts w:ascii="Times New Roman" w:hAnsi="Times New Roman" w:cs="Times New Roman"/>
          <w:sz w:val="24"/>
          <w:szCs w:val="24"/>
        </w:rPr>
        <w:t>fontos fejlesztési feladat</w:t>
      </w:r>
      <w:r w:rsidR="00555818">
        <w:rPr>
          <w:rFonts w:ascii="Times New Roman" w:hAnsi="Times New Roman" w:cs="Times New Roman"/>
          <w:sz w:val="24"/>
          <w:szCs w:val="24"/>
        </w:rPr>
        <w:t>ként</w:t>
      </w:r>
      <w:r w:rsidR="007F09DC" w:rsidRPr="518F5682">
        <w:rPr>
          <w:rFonts w:ascii="Times New Roman" w:hAnsi="Times New Roman" w:cs="Times New Roman"/>
          <w:sz w:val="24"/>
          <w:szCs w:val="24"/>
        </w:rPr>
        <w:t xml:space="preserve"> jelentkezik a mikrotanúsítványokkal kapcsolatban</w:t>
      </w:r>
      <w:r w:rsidR="00343988" w:rsidRPr="518F5682">
        <w:rPr>
          <w:rFonts w:ascii="Times New Roman" w:hAnsi="Times New Roman" w:cs="Times New Roman"/>
          <w:sz w:val="24"/>
          <w:szCs w:val="24"/>
        </w:rPr>
        <w:t xml:space="preserve"> </w:t>
      </w:r>
      <w:r w:rsidR="00225F6F">
        <w:rPr>
          <w:rFonts w:ascii="Times New Roman" w:hAnsi="Times New Roman" w:cs="Times New Roman"/>
          <w:sz w:val="24"/>
          <w:szCs w:val="24"/>
        </w:rPr>
        <w:t>ez</w:t>
      </w:r>
      <w:r w:rsidR="00483266">
        <w:rPr>
          <w:rFonts w:ascii="Times New Roman" w:hAnsi="Times New Roman" w:cs="Times New Roman"/>
          <w:sz w:val="24"/>
          <w:szCs w:val="24"/>
        </w:rPr>
        <w:t xml:space="preserve">ek </w:t>
      </w:r>
      <w:r w:rsidR="0059371B">
        <w:rPr>
          <w:rFonts w:ascii="Times New Roman" w:hAnsi="Times New Roman" w:cs="Times New Roman"/>
          <w:sz w:val="24"/>
          <w:szCs w:val="24"/>
        </w:rPr>
        <w:t xml:space="preserve">elektronikus </w:t>
      </w:r>
      <w:r w:rsidR="00483266">
        <w:rPr>
          <w:rFonts w:ascii="Times New Roman" w:hAnsi="Times New Roman" w:cs="Times New Roman"/>
          <w:sz w:val="24"/>
          <w:szCs w:val="24"/>
        </w:rPr>
        <w:t xml:space="preserve">tárolása, </w:t>
      </w:r>
      <w:r w:rsidR="0059371B">
        <w:rPr>
          <w:rFonts w:ascii="Times New Roman" w:hAnsi="Times New Roman" w:cs="Times New Roman"/>
          <w:sz w:val="24"/>
          <w:szCs w:val="24"/>
        </w:rPr>
        <w:t xml:space="preserve">nyilvántartása </w:t>
      </w:r>
      <w:r w:rsidR="00483266">
        <w:rPr>
          <w:rFonts w:ascii="Times New Roman" w:hAnsi="Times New Roman" w:cs="Times New Roman"/>
          <w:sz w:val="24"/>
          <w:szCs w:val="24"/>
        </w:rPr>
        <w:t>ho</w:t>
      </w:r>
      <w:r w:rsidR="0059371B">
        <w:rPr>
          <w:rFonts w:ascii="Times New Roman" w:hAnsi="Times New Roman" w:cs="Times New Roman"/>
          <w:sz w:val="24"/>
          <w:szCs w:val="24"/>
        </w:rPr>
        <w:t>zzáférhetőségének biztosítása</w:t>
      </w:r>
      <w:r w:rsidR="000D234F">
        <w:rPr>
          <w:rFonts w:ascii="Times New Roman" w:hAnsi="Times New Roman" w:cs="Times New Roman"/>
          <w:sz w:val="24"/>
          <w:szCs w:val="24"/>
        </w:rPr>
        <w:t>, úgy hogy a tanúsítványok</w:t>
      </w:r>
      <w:r w:rsidR="00CF1C05" w:rsidRPr="518F5682">
        <w:rPr>
          <w:rFonts w:ascii="Times New Roman" w:hAnsi="Times New Roman" w:cs="Times New Roman"/>
          <w:sz w:val="24"/>
          <w:szCs w:val="24"/>
        </w:rPr>
        <w:t xml:space="preserve"> elektronikusan </w:t>
      </w:r>
      <w:r w:rsidR="00F17FD6" w:rsidRPr="518F5682">
        <w:rPr>
          <w:rFonts w:ascii="Times New Roman" w:hAnsi="Times New Roman" w:cs="Times New Roman"/>
          <w:sz w:val="24"/>
          <w:szCs w:val="24"/>
        </w:rPr>
        <w:t>a hallgató e-pénztárcájában</w:t>
      </w:r>
      <w:r w:rsidR="00B20062">
        <w:rPr>
          <w:rFonts w:ascii="Times New Roman" w:hAnsi="Times New Roman" w:cs="Times New Roman"/>
          <w:sz w:val="24"/>
          <w:szCs w:val="24"/>
        </w:rPr>
        <w:t xml:space="preserve"> vagy e-</w:t>
      </w:r>
      <w:r w:rsidR="00885F99">
        <w:rPr>
          <w:rFonts w:ascii="Times New Roman" w:hAnsi="Times New Roman" w:cs="Times New Roman"/>
          <w:sz w:val="24"/>
          <w:szCs w:val="24"/>
        </w:rPr>
        <w:t>táskájában</w:t>
      </w:r>
      <w:r w:rsidR="00F17FD6" w:rsidRPr="518F5682">
        <w:rPr>
          <w:rFonts w:ascii="Times New Roman" w:hAnsi="Times New Roman" w:cs="Times New Roman"/>
          <w:sz w:val="24"/>
          <w:szCs w:val="24"/>
        </w:rPr>
        <w:t xml:space="preserve"> </w:t>
      </w:r>
      <w:r w:rsidR="004B6E94">
        <w:rPr>
          <w:rFonts w:ascii="Times New Roman" w:hAnsi="Times New Roman" w:cs="Times New Roman"/>
          <w:sz w:val="24"/>
          <w:szCs w:val="24"/>
        </w:rPr>
        <w:t xml:space="preserve">is </w:t>
      </w:r>
      <w:r w:rsidR="00CF1C05" w:rsidRPr="518F5682">
        <w:rPr>
          <w:rFonts w:ascii="Times New Roman" w:hAnsi="Times New Roman" w:cs="Times New Roman"/>
          <w:sz w:val="24"/>
          <w:szCs w:val="24"/>
        </w:rPr>
        <w:t>tárolhatók legyenek</w:t>
      </w:r>
      <w:r w:rsidR="009A7F93">
        <w:rPr>
          <w:rFonts w:ascii="Times New Roman" w:hAnsi="Times New Roman" w:cs="Times New Roman"/>
          <w:sz w:val="24"/>
          <w:szCs w:val="24"/>
        </w:rPr>
        <w:t>.</w:t>
      </w:r>
      <w:r w:rsidR="00CF1C05" w:rsidRPr="518F5682">
        <w:rPr>
          <w:rFonts w:ascii="Times New Roman" w:hAnsi="Times New Roman" w:cs="Times New Roman"/>
          <w:sz w:val="24"/>
          <w:szCs w:val="24"/>
        </w:rPr>
        <w:t xml:space="preserve"> </w:t>
      </w:r>
      <w:r w:rsidR="009A7F93">
        <w:rPr>
          <w:rFonts w:ascii="Times New Roman" w:hAnsi="Times New Roman" w:cs="Times New Roman"/>
          <w:sz w:val="24"/>
          <w:szCs w:val="24"/>
        </w:rPr>
        <w:t>Ehhez</w:t>
      </w:r>
      <w:r w:rsidR="00BB0D7D" w:rsidRPr="518F5682">
        <w:rPr>
          <w:rFonts w:ascii="Times New Roman" w:hAnsi="Times New Roman" w:cs="Times New Roman"/>
          <w:sz w:val="24"/>
          <w:szCs w:val="24"/>
        </w:rPr>
        <w:t xml:space="preserve"> a</w:t>
      </w:r>
      <w:r w:rsidR="00CF1C05" w:rsidRPr="518F5682">
        <w:rPr>
          <w:rFonts w:ascii="Times New Roman" w:hAnsi="Times New Roman" w:cs="Times New Roman"/>
          <w:sz w:val="24"/>
          <w:szCs w:val="24"/>
        </w:rPr>
        <w:t xml:space="preserve"> képzőintézmény</w:t>
      </w:r>
      <w:r w:rsidR="00BB0D7D" w:rsidRPr="518F5682">
        <w:rPr>
          <w:rFonts w:ascii="Times New Roman" w:hAnsi="Times New Roman" w:cs="Times New Roman"/>
          <w:sz w:val="24"/>
          <w:szCs w:val="24"/>
        </w:rPr>
        <w:t xml:space="preserve">nek </w:t>
      </w:r>
      <w:r w:rsidR="003402B7">
        <w:rPr>
          <w:rFonts w:ascii="Times New Roman" w:hAnsi="Times New Roman" w:cs="Times New Roman"/>
          <w:sz w:val="24"/>
          <w:szCs w:val="24"/>
        </w:rPr>
        <w:t>hozzáférést kell biztosítania</w:t>
      </w:r>
      <w:r w:rsidR="00BB0D7D" w:rsidRPr="518F5682">
        <w:rPr>
          <w:rFonts w:ascii="Times New Roman" w:hAnsi="Times New Roman" w:cs="Times New Roman"/>
          <w:sz w:val="24"/>
          <w:szCs w:val="24"/>
        </w:rPr>
        <w:t xml:space="preserve">  egy </w:t>
      </w:r>
      <w:r w:rsidR="009A7F93">
        <w:rPr>
          <w:rFonts w:ascii="Times New Roman" w:hAnsi="Times New Roman" w:cs="Times New Roman"/>
          <w:sz w:val="24"/>
          <w:szCs w:val="24"/>
        </w:rPr>
        <w:t>megfelelő, szabványos</w:t>
      </w:r>
      <w:r w:rsidR="00034828">
        <w:rPr>
          <w:rFonts w:ascii="Times New Roman" w:hAnsi="Times New Roman" w:cs="Times New Roman"/>
          <w:sz w:val="24"/>
          <w:szCs w:val="24"/>
        </w:rPr>
        <w:t>,</w:t>
      </w:r>
      <w:r w:rsidR="009A7F93">
        <w:rPr>
          <w:rFonts w:ascii="Times New Roman" w:hAnsi="Times New Roman" w:cs="Times New Roman"/>
          <w:sz w:val="24"/>
          <w:szCs w:val="24"/>
        </w:rPr>
        <w:t xml:space="preserve"> digitális</w:t>
      </w:r>
      <w:r w:rsidR="00BB0D7D" w:rsidRPr="518F5682">
        <w:rPr>
          <w:rFonts w:ascii="Times New Roman" w:hAnsi="Times New Roman" w:cs="Times New Roman"/>
          <w:sz w:val="24"/>
          <w:szCs w:val="24"/>
        </w:rPr>
        <w:t xml:space="preserve"> platform</w:t>
      </w:r>
      <w:r w:rsidR="00BB4DE1">
        <w:rPr>
          <w:rFonts w:ascii="Times New Roman" w:hAnsi="Times New Roman" w:cs="Times New Roman"/>
          <w:sz w:val="24"/>
          <w:szCs w:val="24"/>
        </w:rPr>
        <w:t>hoz</w:t>
      </w:r>
      <w:r w:rsidR="009A7F93">
        <w:rPr>
          <w:rFonts w:ascii="Times New Roman" w:hAnsi="Times New Roman" w:cs="Times New Roman"/>
          <w:sz w:val="24"/>
          <w:szCs w:val="24"/>
        </w:rPr>
        <w:t>.</w:t>
      </w:r>
      <w:r w:rsidR="00BB0D7D" w:rsidRPr="518F5682">
        <w:rPr>
          <w:rFonts w:ascii="Times New Roman" w:hAnsi="Times New Roman" w:cs="Times New Roman"/>
          <w:sz w:val="24"/>
          <w:szCs w:val="24"/>
        </w:rPr>
        <w:t>.</w:t>
      </w:r>
      <w:r w:rsidR="009A7F93">
        <w:rPr>
          <w:rFonts w:ascii="Times New Roman" w:hAnsi="Times New Roman" w:cs="Times New Roman"/>
          <w:sz w:val="24"/>
          <w:szCs w:val="24"/>
        </w:rPr>
        <w:t>, ami</w:t>
      </w:r>
      <w:r w:rsidR="00E66A09" w:rsidRPr="518F5682">
        <w:rPr>
          <w:rFonts w:ascii="Times New Roman" w:hAnsi="Times New Roman" w:cs="Times New Roman"/>
          <w:sz w:val="24"/>
          <w:szCs w:val="24"/>
        </w:rPr>
        <w:t xml:space="preserve"> jelentős fejlesztést </w:t>
      </w:r>
      <w:r w:rsidR="00DE52B6">
        <w:rPr>
          <w:rFonts w:ascii="Times New Roman" w:hAnsi="Times New Roman" w:cs="Times New Roman"/>
          <w:sz w:val="24"/>
          <w:szCs w:val="24"/>
        </w:rPr>
        <w:t xml:space="preserve">és beruházást </w:t>
      </w:r>
      <w:r w:rsidR="00E66A09" w:rsidRPr="518F5682">
        <w:rPr>
          <w:rFonts w:ascii="Times New Roman" w:hAnsi="Times New Roman" w:cs="Times New Roman"/>
          <w:sz w:val="24"/>
          <w:szCs w:val="24"/>
        </w:rPr>
        <w:t>igényel</w:t>
      </w:r>
      <w:r w:rsidR="00E344CB" w:rsidRPr="518F5682">
        <w:rPr>
          <w:rFonts w:ascii="Times New Roman" w:hAnsi="Times New Roman" w:cs="Times New Roman"/>
          <w:sz w:val="24"/>
          <w:szCs w:val="24"/>
        </w:rPr>
        <w:t xml:space="preserve"> ELTE oldalon</w:t>
      </w:r>
      <w:r w:rsidR="00034828">
        <w:rPr>
          <w:rFonts w:ascii="Times New Roman" w:hAnsi="Times New Roman" w:cs="Times New Roman"/>
          <w:sz w:val="24"/>
          <w:szCs w:val="24"/>
        </w:rPr>
        <w:t xml:space="preserve"> és</w:t>
      </w:r>
      <w:r w:rsidR="00E344CB" w:rsidRPr="518F5682">
        <w:rPr>
          <w:rFonts w:ascii="Times New Roman" w:hAnsi="Times New Roman" w:cs="Times New Roman"/>
          <w:sz w:val="24"/>
          <w:szCs w:val="24"/>
        </w:rPr>
        <w:t xml:space="preserve"> vélhetően</w:t>
      </w:r>
      <w:r w:rsidR="006A1762">
        <w:rPr>
          <w:rFonts w:ascii="Times New Roman" w:hAnsi="Times New Roman" w:cs="Times New Roman"/>
          <w:sz w:val="24"/>
          <w:szCs w:val="24"/>
        </w:rPr>
        <w:t xml:space="preserve"> csak </w:t>
      </w:r>
      <w:r w:rsidR="00E344CB" w:rsidRPr="518F5682">
        <w:rPr>
          <w:rFonts w:ascii="Times New Roman" w:hAnsi="Times New Roman" w:cs="Times New Roman"/>
          <w:sz w:val="24"/>
          <w:szCs w:val="24"/>
        </w:rPr>
        <w:t xml:space="preserve"> középtávon valósítható meg teljességgel.</w:t>
      </w:r>
      <w:r w:rsidR="00CF1C05" w:rsidRPr="518F5682">
        <w:rPr>
          <w:rFonts w:ascii="Times New Roman" w:hAnsi="Times New Roman" w:cs="Times New Roman"/>
          <w:sz w:val="24"/>
          <w:szCs w:val="24"/>
        </w:rPr>
        <w:t xml:space="preserve"> </w:t>
      </w:r>
      <w:r w:rsidR="00A519F3">
        <w:rPr>
          <w:rFonts w:ascii="Times New Roman" w:hAnsi="Times New Roman" w:cs="Times New Roman"/>
          <w:sz w:val="24"/>
          <w:szCs w:val="24"/>
        </w:rPr>
        <w:t xml:space="preserve">A DOKK projekt keretében </w:t>
      </w:r>
      <w:r w:rsidR="002E13C4">
        <w:rPr>
          <w:rFonts w:ascii="Times New Roman" w:hAnsi="Times New Roman" w:cs="Times New Roman"/>
          <w:sz w:val="24"/>
          <w:szCs w:val="24"/>
        </w:rPr>
        <w:t>ilyen fejlesztések már megkezdődtek</w:t>
      </w:r>
      <w:r w:rsidR="0044623F">
        <w:rPr>
          <w:rFonts w:ascii="Times New Roman" w:hAnsi="Times New Roman" w:cs="Times New Roman"/>
          <w:sz w:val="24"/>
          <w:szCs w:val="24"/>
        </w:rPr>
        <w:t>.</w:t>
      </w:r>
    </w:p>
    <w:p w14:paraId="4D6AFC07" w14:textId="5A3AF743" w:rsidR="00D86488" w:rsidRDefault="004270BF" w:rsidP="00D86488">
      <w:pPr>
        <w:pStyle w:val="Listaszerbekezds"/>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Mikor érdemes és miért hasznos mikrotanúsítványos képzést indítani?</w:t>
      </w:r>
    </w:p>
    <w:p w14:paraId="6F339746" w14:textId="2774575B" w:rsidR="004270BF" w:rsidRDefault="003534F0" w:rsidP="004270BF">
      <w:pPr>
        <w:jc w:val="both"/>
        <w:rPr>
          <w:rFonts w:ascii="Times New Roman" w:hAnsi="Times New Roman" w:cs="Times New Roman"/>
          <w:sz w:val="24"/>
          <w:szCs w:val="24"/>
        </w:rPr>
      </w:pPr>
      <w:r>
        <w:rPr>
          <w:rFonts w:ascii="Times New Roman" w:hAnsi="Times New Roman" w:cs="Times New Roman"/>
          <w:sz w:val="24"/>
          <w:szCs w:val="24"/>
        </w:rPr>
        <w:t>A mikrotanúsítványos képzésekre érdemes úgy tekinteni, mint a felsőoktatás egy olyan új szegmensére, amely a felnőttképzés egy új formája előtt nyit kaput. Elsősorban olyan képzések előtt, amelyeket adott esetben piaci szereplők kérésére vagy az általuk azonosított igények mentén, velük együttműködésben is meg lehet valósítani. E képzéseknek nem feltétlenül kell az akadémiai évhez igazodniuk, a képzés jellegétől függően online formában is szervezhetők tarthatók, lehetőséget kínálnak újfajta, modern képzési módszerek használatára.</w:t>
      </w:r>
    </w:p>
    <w:p w14:paraId="28317698" w14:textId="55B34AED" w:rsidR="003534F0" w:rsidRDefault="003534F0" w:rsidP="004270BF">
      <w:pPr>
        <w:jc w:val="both"/>
        <w:rPr>
          <w:rFonts w:ascii="Times New Roman" w:hAnsi="Times New Roman" w:cs="Times New Roman"/>
          <w:sz w:val="24"/>
          <w:szCs w:val="24"/>
        </w:rPr>
      </w:pPr>
      <w:r>
        <w:rPr>
          <w:rFonts w:ascii="Times New Roman" w:hAnsi="Times New Roman" w:cs="Times New Roman"/>
          <w:sz w:val="24"/>
          <w:szCs w:val="24"/>
        </w:rPr>
        <w:t>Az idegennyelvű, online mikrotanúsítványos képzések vonzerőt jelenthetnek</w:t>
      </w:r>
      <w:r w:rsidR="006B2DBB">
        <w:rPr>
          <w:rFonts w:ascii="Times New Roman" w:hAnsi="Times New Roman" w:cs="Times New Roman"/>
          <w:sz w:val="24"/>
          <w:szCs w:val="24"/>
        </w:rPr>
        <w:t xml:space="preserve"> külföldi hallgatók számára is, emelve az ELTE külföldi ismertségét, reputációját.</w:t>
      </w:r>
    </w:p>
    <w:p w14:paraId="212C5EDB" w14:textId="46A931EE" w:rsidR="003534F0" w:rsidRDefault="006B2DBB" w:rsidP="004270BF">
      <w:pPr>
        <w:jc w:val="both"/>
        <w:rPr>
          <w:rFonts w:ascii="Times New Roman" w:hAnsi="Times New Roman" w:cs="Times New Roman"/>
          <w:sz w:val="24"/>
          <w:szCs w:val="24"/>
        </w:rPr>
      </w:pPr>
      <w:r>
        <w:rPr>
          <w:rFonts w:ascii="Times New Roman" w:hAnsi="Times New Roman" w:cs="Times New Roman"/>
          <w:sz w:val="24"/>
          <w:szCs w:val="24"/>
        </w:rPr>
        <w:t>A mikrotanúsítványos képzések természetesen bevételt is jelentenek a karoknak. Mivel az ilyen képzés minden esetben önköltséges</w:t>
      </w:r>
      <w:r w:rsidR="003F54AC">
        <w:rPr>
          <w:rFonts w:ascii="Times New Roman" w:hAnsi="Times New Roman" w:cs="Times New Roman"/>
          <w:sz w:val="24"/>
          <w:szCs w:val="24"/>
        </w:rPr>
        <w:t xml:space="preserve">, a karoknak körültekintően kell tudniuk kikalkulálniuk azt, hogy honnantól kezdve éri meg számukra és milyen formában mikrotanúsítványos képzések kínálása. </w:t>
      </w:r>
    </w:p>
    <w:p w14:paraId="356A86C4" w14:textId="6225B9EA" w:rsidR="003F54AC" w:rsidRPr="00A00CB3" w:rsidRDefault="003534F0" w:rsidP="003F54AC">
      <w:pPr>
        <w:pStyle w:val="Listaszerbekezds"/>
        <w:numPr>
          <w:ilvl w:val="0"/>
          <w:numId w:val="3"/>
        </w:numPr>
        <w:jc w:val="both"/>
        <w:rPr>
          <w:rFonts w:ascii="Times New Roman" w:hAnsi="Times New Roman" w:cs="Times New Roman"/>
          <w:b/>
          <w:bCs/>
          <w:sz w:val="24"/>
          <w:szCs w:val="24"/>
        </w:rPr>
      </w:pPr>
      <w:r w:rsidRPr="00A00CB3">
        <w:rPr>
          <w:rFonts w:ascii="Times New Roman" w:hAnsi="Times New Roman" w:cs="Times New Roman"/>
          <w:b/>
          <w:bCs/>
          <w:sz w:val="24"/>
          <w:szCs w:val="24"/>
        </w:rPr>
        <w:t>Népszerűsítés</w:t>
      </w:r>
    </w:p>
    <w:p w14:paraId="7FD507A3" w14:textId="77777777" w:rsidR="00337AD1" w:rsidRDefault="003F54AC" w:rsidP="003F54AC">
      <w:pPr>
        <w:jc w:val="both"/>
        <w:rPr>
          <w:rFonts w:ascii="Times New Roman" w:hAnsi="Times New Roman" w:cs="Times New Roman"/>
          <w:sz w:val="24"/>
          <w:szCs w:val="24"/>
        </w:rPr>
      </w:pPr>
      <w:r>
        <w:rPr>
          <w:rFonts w:ascii="Times New Roman" w:hAnsi="Times New Roman" w:cs="Times New Roman"/>
          <w:sz w:val="24"/>
          <w:szCs w:val="24"/>
        </w:rPr>
        <w:t>A mikrotanúsítványos képzések egyedüli népszerűsítési formája az egyetem, az érintett kar honlapja</w:t>
      </w:r>
      <w:r w:rsidR="00337AD1">
        <w:rPr>
          <w:rFonts w:ascii="Times New Roman" w:hAnsi="Times New Roman" w:cs="Times New Roman"/>
          <w:sz w:val="24"/>
          <w:szCs w:val="24"/>
        </w:rPr>
        <w:t>. Érdemes az egyetem valamennyi kara által kínált ilyen képzéseket egységesen az ELTE honlapon, de külön a karok honlapján is megjeleníteni, felhasználva azokat, a bejelentő űrlapon feltüntetett információkat, amelyek érdekesek lehetnek a képzés iránt érdeklődők számára. Javasolt, hogy a képzés által kielégíteni kívánt munkaerőpiaci vagy társadalmi igények, a képzés által megcélzott tanulási eredmények, a tematika, az értékelés módja is megjelenjen a technikai jellegű tudnivalók mellett.</w:t>
      </w:r>
    </w:p>
    <w:p w14:paraId="0B56F813" w14:textId="69D1223E" w:rsidR="00DF296D" w:rsidRPr="003F54AC" w:rsidRDefault="00337AD1" w:rsidP="003F54AC">
      <w:pPr>
        <w:jc w:val="both"/>
        <w:rPr>
          <w:rFonts w:ascii="Times New Roman" w:hAnsi="Times New Roman" w:cs="Times New Roman"/>
          <w:sz w:val="24"/>
          <w:szCs w:val="24"/>
        </w:rPr>
      </w:pPr>
      <w:r>
        <w:rPr>
          <w:rFonts w:ascii="Times New Roman" w:hAnsi="Times New Roman" w:cs="Times New Roman"/>
          <w:sz w:val="24"/>
          <w:szCs w:val="24"/>
        </w:rPr>
        <w:t xml:space="preserve">A jelentkezés módját, az esetleges szükséges előfeltételek ellenőrzésének módját a karok szabadon határozzák meg. Azon jelentkezőkkel, akik nem állnak az egyetemmel hallgatói jogviszonyban, a képzést kínáló kar hallgatói jogviszonyt létesít. </w:t>
      </w:r>
      <w:r w:rsidR="003F54AC">
        <w:rPr>
          <w:rFonts w:ascii="Times New Roman" w:hAnsi="Times New Roman" w:cs="Times New Roman"/>
          <w:sz w:val="24"/>
          <w:szCs w:val="24"/>
        </w:rPr>
        <w:t xml:space="preserve"> </w:t>
      </w:r>
    </w:p>
    <w:p w14:paraId="7E0C9C93" w14:textId="616134B6" w:rsidR="00D86488" w:rsidRDefault="007A7CFA" w:rsidP="00D8648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Külföldi egyetemek mikrotanústványos képzéseinek </w:t>
      </w:r>
      <w:r w:rsidR="00C653BB">
        <w:rPr>
          <w:rFonts w:ascii="Times New Roman" w:hAnsi="Times New Roman" w:cs="Times New Roman"/>
          <w:sz w:val="24"/>
          <w:szCs w:val="24"/>
        </w:rPr>
        <w:t>kínálatáról az alábbi linkeken lehet tájékozódni.</w:t>
      </w:r>
    </w:p>
    <w:p w14:paraId="76E8A810" w14:textId="3372FD15" w:rsidR="00C653BB" w:rsidRDefault="00C653BB" w:rsidP="00D86488">
      <w:pPr>
        <w:jc w:val="both"/>
        <w:rPr>
          <w:rFonts w:ascii="Times New Roman" w:hAnsi="Times New Roman" w:cs="Times New Roman"/>
          <w:sz w:val="24"/>
          <w:szCs w:val="24"/>
        </w:rPr>
      </w:pPr>
      <w:r>
        <w:rPr>
          <w:rFonts w:ascii="Times New Roman" w:hAnsi="Times New Roman" w:cs="Times New Roman"/>
          <w:sz w:val="24"/>
          <w:szCs w:val="24"/>
        </w:rPr>
        <w:t xml:space="preserve">Dublini Trinity College: </w:t>
      </w:r>
      <w:hyperlink r:id="rId11" w:history="1">
        <w:r w:rsidR="002961D5" w:rsidRPr="00020933">
          <w:rPr>
            <w:rStyle w:val="Hiperhivatkozs"/>
            <w:rFonts w:ascii="Times New Roman" w:hAnsi="Times New Roman" w:cs="Times New Roman"/>
            <w:sz w:val="24"/>
            <w:szCs w:val="24"/>
          </w:rPr>
          <w:t>https://www.tcd.ie/courses/microcredentials/a-z-of-microcredentials/</w:t>
        </w:r>
      </w:hyperlink>
    </w:p>
    <w:p w14:paraId="238B3F2C" w14:textId="64036A81" w:rsidR="002961D5" w:rsidRDefault="002961D5" w:rsidP="00D86488">
      <w:pPr>
        <w:jc w:val="both"/>
        <w:rPr>
          <w:rFonts w:ascii="Times New Roman" w:hAnsi="Times New Roman" w:cs="Times New Roman"/>
          <w:sz w:val="24"/>
          <w:szCs w:val="24"/>
        </w:rPr>
      </w:pPr>
      <w:r>
        <w:rPr>
          <w:rFonts w:ascii="Times New Roman" w:hAnsi="Times New Roman" w:cs="Times New Roman"/>
          <w:sz w:val="24"/>
          <w:szCs w:val="24"/>
        </w:rPr>
        <w:t xml:space="preserve">Utrechti Egyetem: </w:t>
      </w:r>
      <w:hyperlink r:id="rId12" w:history="1">
        <w:r w:rsidR="00D35252" w:rsidRPr="00020933">
          <w:rPr>
            <w:rStyle w:val="Hiperhivatkozs"/>
            <w:rFonts w:ascii="Times New Roman" w:hAnsi="Times New Roman" w:cs="Times New Roman"/>
            <w:sz w:val="24"/>
            <w:szCs w:val="24"/>
          </w:rPr>
          <w:t>https://professionals.uu.nl/en/p/micro-credentials</w:t>
        </w:r>
      </w:hyperlink>
    </w:p>
    <w:p w14:paraId="4F80C4FD" w14:textId="4C7F14C6" w:rsidR="004C0372" w:rsidRDefault="00E23A0E" w:rsidP="00D86488">
      <w:pPr>
        <w:jc w:val="both"/>
        <w:rPr>
          <w:rFonts w:ascii="Times New Roman" w:hAnsi="Times New Roman" w:cs="Times New Roman"/>
          <w:sz w:val="24"/>
          <w:szCs w:val="24"/>
        </w:rPr>
      </w:pPr>
      <w:r>
        <w:rPr>
          <w:rFonts w:ascii="Times New Roman" w:hAnsi="Times New Roman" w:cs="Times New Roman"/>
          <w:sz w:val="24"/>
          <w:szCs w:val="24"/>
        </w:rPr>
        <w:t>Birmi</w:t>
      </w:r>
      <w:r w:rsidR="004C0372">
        <w:rPr>
          <w:rFonts w:ascii="Times New Roman" w:hAnsi="Times New Roman" w:cs="Times New Roman"/>
          <w:sz w:val="24"/>
          <w:szCs w:val="24"/>
        </w:rPr>
        <w:t>n</w:t>
      </w:r>
      <w:r>
        <w:rPr>
          <w:rFonts w:ascii="Times New Roman" w:hAnsi="Times New Roman" w:cs="Times New Roman"/>
          <w:sz w:val="24"/>
          <w:szCs w:val="24"/>
        </w:rPr>
        <w:t>g</w:t>
      </w:r>
      <w:r w:rsidR="004C0372">
        <w:rPr>
          <w:rFonts w:ascii="Times New Roman" w:hAnsi="Times New Roman" w:cs="Times New Roman"/>
          <w:sz w:val="24"/>
          <w:szCs w:val="24"/>
        </w:rPr>
        <w:t xml:space="preserve">hami Egyetem: </w:t>
      </w:r>
      <w:hyperlink r:id="rId13" w:history="1">
        <w:r w:rsidR="004C0372" w:rsidRPr="00020933">
          <w:rPr>
            <w:rStyle w:val="Hiperhivatkozs"/>
            <w:rFonts w:ascii="Times New Roman" w:hAnsi="Times New Roman" w:cs="Times New Roman"/>
            <w:sz w:val="24"/>
            <w:szCs w:val="24"/>
          </w:rPr>
          <w:t>https://www.birmingham.ac.uk/study/short-courses/microcredential-courses</w:t>
        </w:r>
      </w:hyperlink>
    </w:p>
    <w:p w14:paraId="16F3EEF9" w14:textId="5C251D25" w:rsidR="00C32346" w:rsidRDefault="00C32346" w:rsidP="00D86488">
      <w:pPr>
        <w:jc w:val="both"/>
        <w:rPr>
          <w:rFonts w:ascii="Times New Roman" w:hAnsi="Times New Roman" w:cs="Times New Roman"/>
          <w:sz w:val="24"/>
          <w:szCs w:val="24"/>
        </w:rPr>
      </w:pPr>
      <w:r>
        <w:rPr>
          <w:rFonts w:ascii="Times New Roman" w:hAnsi="Times New Roman" w:cs="Times New Roman"/>
          <w:sz w:val="24"/>
          <w:szCs w:val="24"/>
        </w:rPr>
        <w:t>Melbourne</w:t>
      </w:r>
      <w:r w:rsidR="00A26C13">
        <w:rPr>
          <w:rFonts w:ascii="Times New Roman" w:hAnsi="Times New Roman" w:cs="Times New Roman"/>
          <w:sz w:val="24"/>
          <w:szCs w:val="24"/>
        </w:rPr>
        <w:t>-</w:t>
      </w:r>
      <w:r>
        <w:rPr>
          <w:rFonts w:ascii="Times New Roman" w:hAnsi="Times New Roman" w:cs="Times New Roman"/>
          <w:sz w:val="24"/>
          <w:szCs w:val="24"/>
        </w:rPr>
        <w:t xml:space="preserve">i Egyetem: </w:t>
      </w:r>
      <w:hyperlink r:id="rId14" w:history="1">
        <w:r w:rsidRPr="00020933">
          <w:rPr>
            <w:rStyle w:val="Hiperhivatkozs"/>
            <w:rFonts w:ascii="Times New Roman" w:hAnsi="Times New Roman" w:cs="Times New Roman"/>
            <w:sz w:val="24"/>
            <w:szCs w:val="24"/>
          </w:rPr>
          <w:t>https://study.unimelb.edu.au/study-with-us/professional-development/micro-credentials-and-short-courses</w:t>
        </w:r>
      </w:hyperlink>
    </w:p>
    <w:p w14:paraId="67781047" w14:textId="48752FBD" w:rsidR="00851729" w:rsidRPr="00A1297A" w:rsidRDefault="00E23A0E" w:rsidP="00A1297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851729" w:rsidRPr="00A1297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97940" w14:textId="77777777" w:rsidR="00516102" w:rsidRDefault="00516102" w:rsidP="00403261">
      <w:pPr>
        <w:spacing w:after="0" w:line="240" w:lineRule="auto"/>
      </w:pPr>
      <w:r>
        <w:separator/>
      </w:r>
    </w:p>
  </w:endnote>
  <w:endnote w:type="continuationSeparator" w:id="0">
    <w:p w14:paraId="5368E97E" w14:textId="77777777" w:rsidR="00516102" w:rsidRDefault="00516102" w:rsidP="00403261">
      <w:pPr>
        <w:spacing w:after="0" w:line="240" w:lineRule="auto"/>
      </w:pPr>
      <w:r>
        <w:continuationSeparator/>
      </w:r>
    </w:p>
  </w:endnote>
  <w:endnote w:type="continuationNotice" w:id="1">
    <w:p w14:paraId="7657FB9B" w14:textId="77777777" w:rsidR="00516102" w:rsidRDefault="00516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376179"/>
      <w:docPartObj>
        <w:docPartGallery w:val="Page Numbers (Bottom of Page)"/>
        <w:docPartUnique/>
      </w:docPartObj>
    </w:sdtPr>
    <w:sdtEndPr/>
    <w:sdtContent>
      <w:p w14:paraId="2B7E7D5B" w14:textId="491DF002" w:rsidR="00A1297A" w:rsidRDefault="00A1297A">
        <w:pPr>
          <w:pStyle w:val="llb"/>
          <w:jc w:val="right"/>
        </w:pPr>
        <w:r>
          <w:fldChar w:fldCharType="begin"/>
        </w:r>
        <w:r>
          <w:instrText>PAGE   \* MERGEFORMAT</w:instrText>
        </w:r>
        <w:r>
          <w:fldChar w:fldCharType="separate"/>
        </w:r>
        <w:r w:rsidR="0049421E">
          <w:rPr>
            <w:noProof/>
          </w:rPr>
          <w:t>7</w:t>
        </w:r>
        <w:r>
          <w:fldChar w:fldCharType="end"/>
        </w:r>
      </w:p>
    </w:sdtContent>
  </w:sdt>
  <w:p w14:paraId="131A22CE" w14:textId="77777777" w:rsidR="00A1297A" w:rsidRDefault="00A129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40E47" w14:textId="77777777" w:rsidR="00516102" w:rsidRDefault="00516102" w:rsidP="00403261">
      <w:pPr>
        <w:spacing w:after="0" w:line="240" w:lineRule="auto"/>
      </w:pPr>
      <w:r>
        <w:separator/>
      </w:r>
    </w:p>
  </w:footnote>
  <w:footnote w:type="continuationSeparator" w:id="0">
    <w:p w14:paraId="63E6FBF5" w14:textId="77777777" w:rsidR="00516102" w:rsidRDefault="00516102" w:rsidP="00403261">
      <w:pPr>
        <w:spacing w:after="0" w:line="240" w:lineRule="auto"/>
      </w:pPr>
      <w:r>
        <w:continuationSeparator/>
      </w:r>
    </w:p>
  </w:footnote>
  <w:footnote w:type="continuationNotice" w:id="1">
    <w:p w14:paraId="16CAD587" w14:textId="77777777" w:rsidR="00516102" w:rsidRDefault="00516102">
      <w:pPr>
        <w:spacing w:after="0" w:line="240" w:lineRule="auto"/>
      </w:pPr>
    </w:p>
  </w:footnote>
  <w:footnote w:id="2">
    <w:p w14:paraId="361CEC9E" w14:textId="40113DEA" w:rsidR="00337AD1" w:rsidRDefault="00337AD1" w:rsidP="00337AD1">
      <w:pPr>
        <w:pStyle w:val="Lbjegyzetszveg"/>
      </w:pPr>
      <w:r>
        <w:rPr>
          <w:rStyle w:val="Lbjegyzet-hivatkozs"/>
        </w:rPr>
        <w:footnoteRef/>
      </w:r>
      <w:r>
        <w:t xml:space="preserve"> A TANÁCSAJÁNLÁSA (16 June 2022) az egész életen át tartó tanulást és a foglalkoztathatóságot célzó mikrotanúsítványokra vonatkozó európai megközelítésről (2022/C 243/02), </w:t>
      </w:r>
      <w:hyperlink r:id="rId1" w:history="1">
        <w:r w:rsidRPr="00F52450">
          <w:rPr>
            <w:rStyle w:val="Hiperhivatkozs"/>
          </w:rPr>
          <w:t>https://eur-lex.europa.eu/legal-content/HU/TXT/HTML/?uri=CELEX:32022H0627(02)</w:t>
        </w:r>
      </w:hyperlink>
    </w:p>
    <w:p w14:paraId="25CB0790" w14:textId="77777777" w:rsidR="00337AD1" w:rsidRDefault="00337AD1" w:rsidP="00337AD1">
      <w:pPr>
        <w:pStyle w:val="Lbjegyzetszveg"/>
      </w:pPr>
    </w:p>
  </w:footnote>
  <w:footnote w:id="3">
    <w:p w14:paraId="7577B03E" w14:textId="362C95F6" w:rsidR="00403261" w:rsidRPr="0043154A" w:rsidRDefault="00403261" w:rsidP="0043154A">
      <w:pPr>
        <w:pStyle w:val="Lbjegyzetszveg"/>
        <w:jc w:val="both"/>
        <w:rPr>
          <w:rFonts w:ascii="Times New Roman" w:hAnsi="Times New Roman" w:cs="Times New Roman"/>
          <w:sz w:val="22"/>
          <w:szCs w:val="22"/>
        </w:rPr>
      </w:pPr>
      <w:r>
        <w:rPr>
          <w:rStyle w:val="Lbjegyzet-hivatkozs"/>
        </w:rPr>
        <w:footnoteRef/>
      </w:r>
      <w:r>
        <w:t xml:space="preserve"> </w:t>
      </w:r>
      <w:r w:rsidR="00663E5E" w:rsidRPr="00F553B4">
        <w:rPr>
          <w:rFonts w:ascii="Times New Roman" w:hAnsi="Times New Roman" w:cs="Times New Roman"/>
          <w:sz w:val="22"/>
          <w:szCs w:val="22"/>
        </w:rPr>
        <w:t xml:space="preserve">European Association for Quality Assurance in Higher Education, </w:t>
      </w:r>
      <w:r w:rsidR="00004E6F" w:rsidRPr="00F553B4">
        <w:rPr>
          <w:rFonts w:ascii="Times New Roman" w:hAnsi="Times New Roman" w:cs="Times New Roman"/>
          <w:sz w:val="22"/>
          <w:szCs w:val="22"/>
        </w:rPr>
        <w:t xml:space="preserve">QUALITY ASSURANCE OF MICRO-CREDENTIALS: Expectations within the Context of the Standards and Guidelines for Quality Assurance in the European Higher Education Area, </w:t>
      </w:r>
      <w:r w:rsidR="0043154A">
        <w:rPr>
          <w:rFonts w:ascii="Times New Roman" w:hAnsi="Times New Roman" w:cs="Times New Roman"/>
          <w:sz w:val="22"/>
          <w:szCs w:val="22"/>
        </w:rPr>
        <w:t xml:space="preserve"> </w:t>
      </w:r>
      <w:hyperlink r:id="rId2" w:history="1">
        <w:r w:rsidR="0043154A" w:rsidRPr="00423981">
          <w:rPr>
            <w:rStyle w:val="Hiperhivatkozs"/>
            <w:rFonts w:ascii="Times New Roman" w:hAnsi="Times New Roman" w:cs="Times New Roman"/>
            <w:sz w:val="22"/>
            <w:szCs w:val="22"/>
          </w:rPr>
          <w:t>https://www.enqa.eu/publications/QA-of-micro-credentials/</w:t>
        </w:r>
      </w:hyperlink>
      <w:r w:rsidR="0043154A">
        <w:rPr>
          <w:rFonts w:ascii="Times New Roman" w:hAnsi="Times New Roman" w:cs="Times New Roman"/>
          <w:sz w:val="22"/>
          <w:szCs w:val="22"/>
        </w:rPr>
        <w:t xml:space="preserve">, illetve </w:t>
      </w:r>
      <w:r w:rsidR="00D43DFC" w:rsidRPr="00D43DFC">
        <w:rPr>
          <w:rFonts w:ascii="Times New Roman" w:hAnsi="Times New Roman" w:cs="Times New Roman"/>
          <w:sz w:val="22"/>
          <w:szCs w:val="22"/>
        </w:rPr>
        <w:t>IMINQA Working Group on Quality Assurance of Micro-credentials</w:t>
      </w:r>
      <w:r w:rsidR="00EE2385">
        <w:rPr>
          <w:rFonts w:ascii="Times New Roman" w:hAnsi="Times New Roman" w:cs="Times New Roman"/>
          <w:sz w:val="22"/>
          <w:szCs w:val="22"/>
        </w:rPr>
        <w:t xml:space="preserve">, </w:t>
      </w:r>
      <w:r w:rsidR="0043154A" w:rsidRPr="0043154A">
        <w:rPr>
          <w:rFonts w:ascii="Times New Roman" w:hAnsi="Times New Roman" w:cs="Times New Roman"/>
          <w:sz w:val="22"/>
          <w:szCs w:val="22"/>
        </w:rPr>
        <w:t>Quality assurance of micro-credentials</w:t>
      </w:r>
      <w:r w:rsidR="0043154A">
        <w:rPr>
          <w:rFonts w:ascii="Times New Roman" w:hAnsi="Times New Roman" w:cs="Times New Roman"/>
          <w:sz w:val="22"/>
          <w:szCs w:val="22"/>
        </w:rPr>
        <w:t xml:space="preserve"> </w:t>
      </w:r>
      <w:r w:rsidR="0043154A" w:rsidRPr="0043154A">
        <w:rPr>
          <w:rFonts w:ascii="Times New Roman" w:hAnsi="Times New Roman" w:cs="Times New Roman"/>
          <w:sz w:val="22"/>
          <w:szCs w:val="22"/>
        </w:rPr>
        <w:t>Reflective questions for internal and external</w:t>
      </w:r>
      <w:r w:rsidR="00EE2385">
        <w:rPr>
          <w:rFonts w:ascii="Times New Roman" w:hAnsi="Times New Roman" w:cs="Times New Roman"/>
          <w:sz w:val="22"/>
          <w:szCs w:val="22"/>
        </w:rPr>
        <w:t xml:space="preserve"> </w:t>
      </w:r>
      <w:r w:rsidR="0043154A" w:rsidRPr="0043154A">
        <w:rPr>
          <w:rFonts w:ascii="Times New Roman" w:hAnsi="Times New Roman" w:cs="Times New Roman"/>
          <w:sz w:val="22"/>
          <w:szCs w:val="22"/>
        </w:rPr>
        <w:t>quality assurance</w:t>
      </w:r>
      <w:r w:rsidR="0043154A">
        <w:rPr>
          <w:rFonts w:ascii="Times New Roman" w:hAnsi="Times New Roman" w:cs="Times New Roman"/>
          <w:sz w:val="22"/>
          <w:szCs w:val="22"/>
        </w:rPr>
        <w:t>,</w:t>
      </w:r>
      <w:r w:rsidR="00EE2385">
        <w:rPr>
          <w:rFonts w:ascii="Times New Roman" w:hAnsi="Times New Roman" w:cs="Times New Roman"/>
          <w:sz w:val="22"/>
          <w:szCs w:val="22"/>
        </w:rPr>
        <w:t xml:space="preserve"> 2023 December.</w:t>
      </w:r>
      <w:r w:rsidR="0043154A">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B650D"/>
    <w:multiLevelType w:val="hybridMultilevel"/>
    <w:tmpl w:val="93A49D9A"/>
    <w:lvl w:ilvl="0" w:tplc="D5D623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0176D6E"/>
    <w:multiLevelType w:val="hybridMultilevel"/>
    <w:tmpl w:val="8B40B86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1E531A5"/>
    <w:multiLevelType w:val="hybridMultilevel"/>
    <w:tmpl w:val="E3FE4D66"/>
    <w:lvl w:ilvl="0" w:tplc="CE9234E0">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D3"/>
    <w:rsid w:val="00004E6F"/>
    <w:rsid w:val="000055BA"/>
    <w:rsid w:val="00012AFB"/>
    <w:rsid w:val="00015E6E"/>
    <w:rsid w:val="00016CE8"/>
    <w:rsid w:val="00022CF6"/>
    <w:rsid w:val="00025429"/>
    <w:rsid w:val="00034828"/>
    <w:rsid w:val="000348BC"/>
    <w:rsid w:val="00037225"/>
    <w:rsid w:val="00046EC9"/>
    <w:rsid w:val="0005684C"/>
    <w:rsid w:val="00057B99"/>
    <w:rsid w:val="00061DCA"/>
    <w:rsid w:val="00074CE2"/>
    <w:rsid w:val="00080741"/>
    <w:rsid w:val="0008197E"/>
    <w:rsid w:val="000856B1"/>
    <w:rsid w:val="000A4C8D"/>
    <w:rsid w:val="000C32F8"/>
    <w:rsid w:val="000C6CD5"/>
    <w:rsid w:val="000D06D3"/>
    <w:rsid w:val="000D234F"/>
    <w:rsid w:val="000E6AF5"/>
    <w:rsid w:val="00105CC3"/>
    <w:rsid w:val="00114FFD"/>
    <w:rsid w:val="001274CD"/>
    <w:rsid w:val="00132B0D"/>
    <w:rsid w:val="0013352D"/>
    <w:rsid w:val="001342CC"/>
    <w:rsid w:val="00145992"/>
    <w:rsid w:val="00147CDD"/>
    <w:rsid w:val="00153BBC"/>
    <w:rsid w:val="001541D3"/>
    <w:rsid w:val="001925E5"/>
    <w:rsid w:val="00192EAF"/>
    <w:rsid w:val="001936AD"/>
    <w:rsid w:val="00195C0D"/>
    <w:rsid w:val="001A1355"/>
    <w:rsid w:val="001B198E"/>
    <w:rsid w:val="001C1DCD"/>
    <w:rsid w:val="001D1DBC"/>
    <w:rsid w:val="001D2A58"/>
    <w:rsid w:val="001E642D"/>
    <w:rsid w:val="0020239F"/>
    <w:rsid w:val="0020744F"/>
    <w:rsid w:val="00214D9C"/>
    <w:rsid w:val="00221D48"/>
    <w:rsid w:val="00223B0D"/>
    <w:rsid w:val="00225F6F"/>
    <w:rsid w:val="0023227F"/>
    <w:rsid w:val="0023639F"/>
    <w:rsid w:val="002478C5"/>
    <w:rsid w:val="002727D4"/>
    <w:rsid w:val="00275FD2"/>
    <w:rsid w:val="00284E8B"/>
    <w:rsid w:val="002961D5"/>
    <w:rsid w:val="002974F0"/>
    <w:rsid w:val="002C235E"/>
    <w:rsid w:val="002C6907"/>
    <w:rsid w:val="002C76BC"/>
    <w:rsid w:val="002E13C4"/>
    <w:rsid w:val="002E2E72"/>
    <w:rsid w:val="002E6186"/>
    <w:rsid w:val="002F4A7B"/>
    <w:rsid w:val="002F7A59"/>
    <w:rsid w:val="00337AD1"/>
    <w:rsid w:val="003402B7"/>
    <w:rsid w:val="00343988"/>
    <w:rsid w:val="00353112"/>
    <w:rsid w:val="003534F0"/>
    <w:rsid w:val="003556E5"/>
    <w:rsid w:val="00373E65"/>
    <w:rsid w:val="00380E1A"/>
    <w:rsid w:val="003A6772"/>
    <w:rsid w:val="003A6FD4"/>
    <w:rsid w:val="003B37E9"/>
    <w:rsid w:val="003C5EB5"/>
    <w:rsid w:val="003D761B"/>
    <w:rsid w:val="003F2E94"/>
    <w:rsid w:val="003F54AC"/>
    <w:rsid w:val="00403261"/>
    <w:rsid w:val="004206FF"/>
    <w:rsid w:val="004270BF"/>
    <w:rsid w:val="0043154A"/>
    <w:rsid w:val="00437788"/>
    <w:rsid w:val="004427AC"/>
    <w:rsid w:val="00444F49"/>
    <w:rsid w:val="0044623F"/>
    <w:rsid w:val="00483266"/>
    <w:rsid w:val="0049421E"/>
    <w:rsid w:val="004B1FAE"/>
    <w:rsid w:val="004B6E94"/>
    <w:rsid w:val="004C0372"/>
    <w:rsid w:val="004C5E37"/>
    <w:rsid w:val="004F1B41"/>
    <w:rsid w:val="00516102"/>
    <w:rsid w:val="0052135F"/>
    <w:rsid w:val="00535C05"/>
    <w:rsid w:val="00535F39"/>
    <w:rsid w:val="00537D5B"/>
    <w:rsid w:val="0054361A"/>
    <w:rsid w:val="00555818"/>
    <w:rsid w:val="005656ED"/>
    <w:rsid w:val="0059371B"/>
    <w:rsid w:val="005A5D54"/>
    <w:rsid w:val="005C2819"/>
    <w:rsid w:val="005C7CD7"/>
    <w:rsid w:val="005D1075"/>
    <w:rsid w:val="005E425B"/>
    <w:rsid w:val="005F1EF7"/>
    <w:rsid w:val="00607BC7"/>
    <w:rsid w:val="006149BF"/>
    <w:rsid w:val="006150A2"/>
    <w:rsid w:val="00616159"/>
    <w:rsid w:val="0062461C"/>
    <w:rsid w:val="00633117"/>
    <w:rsid w:val="00650D43"/>
    <w:rsid w:val="00663E5E"/>
    <w:rsid w:val="00682B16"/>
    <w:rsid w:val="00691635"/>
    <w:rsid w:val="006A1762"/>
    <w:rsid w:val="006B2DBB"/>
    <w:rsid w:val="006B4A3D"/>
    <w:rsid w:val="006C6602"/>
    <w:rsid w:val="006D7ED3"/>
    <w:rsid w:val="007209D6"/>
    <w:rsid w:val="007400F0"/>
    <w:rsid w:val="007410BE"/>
    <w:rsid w:val="007623FD"/>
    <w:rsid w:val="007676B0"/>
    <w:rsid w:val="00770986"/>
    <w:rsid w:val="0077323C"/>
    <w:rsid w:val="00780AEA"/>
    <w:rsid w:val="007A2013"/>
    <w:rsid w:val="007A7CFA"/>
    <w:rsid w:val="007C2430"/>
    <w:rsid w:val="007C5C48"/>
    <w:rsid w:val="007E530B"/>
    <w:rsid w:val="007F09DC"/>
    <w:rsid w:val="00803986"/>
    <w:rsid w:val="00804DAF"/>
    <w:rsid w:val="00851729"/>
    <w:rsid w:val="00860318"/>
    <w:rsid w:val="00860DCD"/>
    <w:rsid w:val="00865305"/>
    <w:rsid w:val="00873565"/>
    <w:rsid w:val="00876EF5"/>
    <w:rsid w:val="0088387D"/>
    <w:rsid w:val="00885F99"/>
    <w:rsid w:val="00891389"/>
    <w:rsid w:val="008A4549"/>
    <w:rsid w:val="008D5B19"/>
    <w:rsid w:val="008D6054"/>
    <w:rsid w:val="00921D7C"/>
    <w:rsid w:val="00947BB5"/>
    <w:rsid w:val="00975DA6"/>
    <w:rsid w:val="009777DC"/>
    <w:rsid w:val="009925CD"/>
    <w:rsid w:val="009A1E20"/>
    <w:rsid w:val="009A7F93"/>
    <w:rsid w:val="009C4E2F"/>
    <w:rsid w:val="009D2196"/>
    <w:rsid w:val="009D5F09"/>
    <w:rsid w:val="009E2D48"/>
    <w:rsid w:val="009F3794"/>
    <w:rsid w:val="009F5875"/>
    <w:rsid w:val="009F5A39"/>
    <w:rsid w:val="00A00CB3"/>
    <w:rsid w:val="00A10DEC"/>
    <w:rsid w:val="00A10F21"/>
    <w:rsid w:val="00A1174A"/>
    <w:rsid w:val="00A1297A"/>
    <w:rsid w:val="00A26C13"/>
    <w:rsid w:val="00A4178C"/>
    <w:rsid w:val="00A519F3"/>
    <w:rsid w:val="00A7741D"/>
    <w:rsid w:val="00A96576"/>
    <w:rsid w:val="00A96A4E"/>
    <w:rsid w:val="00AB4056"/>
    <w:rsid w:val="00AB557E"/>
    <w:rsid w:val="00AB5674"/>
    <w:rsid w:val="00AD2126"/>
    <w:rsid w:val="00AD4731"/>
    <w:rsid w:val="00AD6C4B"/>
    <w:rsid w:val="00AE7FBA"/>
    <w:rsid w:val="00B05D09"/>
    <w:rsid w:val="00B20062"/>
    <w:rsid w:val="00B363E2"/>
    <w:rsid w:val="00B4624C"/>
    <w:rsid w:val="00B52813"/>
    <w:rsid w:val="00B553F2"/>
    <w:rsid w:val="00B56B93"/>
    <w:rsid w:val="00B61581"/>
    <w:rsid w:val="00B65D9B"/>
    <w:rsid w:val="00B660C1"/>
    <w:rsid w:val="00B66C80"/>
    <w:rsid w:val="00B86A02"/>
    <w:rsid w:val="00B86B35"/>
    <w:rsid w:val="00B94383"/>
    <w:rsid w:val="00BB0D7D"/>
    <w:rsid w:val="00BB3BA3"/>
    <w:rsid w:val="00BB4DE1"/>
    <w:rsid w:val="00BB4E34"/>
    <w:rsid w:val="00BB5C05"/>
    <w:rsid w:val="00BB6748"/>
    <w:rsid w:val="00BC54C6"/>
    <w:rsid w:val="00BD6765"/>
    <w:rsid w:val="00BF7528"/>
    <w:rsid w:val="00C2090C"/>
    <w:rsid w:val="00C305A5"/>
    <w:rsid w:val="00C32346"/>
    <w:rsid w:val="00C63E0A"/>
    <w:rsid w:val="00C63F5D"/>
    <w:rsid w:val="00C653BB"/>
    <w:rsid w:val="00C7376C"/>
    <w:rsid w:val="00C82553"/>
    <w:rsid w:val="00CA4969"/>
    <w:rsid w:val="00CB4E13"/>
    <w:rsid w:val="00CB4FF0"/>
    <w:rsid w:val="00CC01BB"/>
    <w:rsid w:val="00CD00E5"/>
    <w:rsid w:val="00CD0726"/>
    <w:rsid w:val="00CD6E88"/>
    <w:rsid w:val="00CE256D"/>
    <w:rsid w:val="00CF1C05"/>
    <w:rsid w:val="00CF2869"/>
    <w:rsid w:val="00D14D04"/>
    <w:rsid w:val="00D35252"/>
    <w:rsid w:val="00D36E60"/>
    <w:rsid w:val="00D43DFC"/>
    <w:rsid w:val="00D45758"/>
    <w:rsid w:val="00D5728F"/>
    <w:rsid w:val="00D61615"/>
    <w:rsid w:val="00D63A74"/>
    <w:rsid w:val="00D776FD"/>
    <w:rsid w:val="00D84E7F"/>
    <w:rsid w:val="00D86488"/>
    <w:rsid w:val="00D90170"/>
    <w:rsid w:val="00D93B87"/>
    <w:rsid w:val="00D963CC"/>
    <w:rsid w:val="00DE0BC1"/>
    <w:rsid w:val="00DE197C"/>
    <w:rsid w:val="00DE52B6"/>
    <w:rsid w:val="00DE6101"/>
    <w:rsid w:val="00DF296D"/>
    <w:rsid w:val="00DF6D2C"/>
    <w:rsid w:val="00E026E9"/>
    <w:rsid w:val="00E04C81"/>
    <w:rsid w:val="00E23A0E"/>
    <w:rsid w:val="00E24972"/>
    <w:rsid w:val="00E269D2"/>
    <w:rsid w:val="00E337E8"/>
    <w:rsid w:val="00E344CB"/>
    <w:rsid w:val="00E3661B"/>
    <w:rsid w:val="00E40EF2"/>
    <w:rsid w:val="00E47AC6"/>
    <w:rsid w:val="00E567D1"/>
    <w:rsid w:val="00E635D3"/>
    <w:rsid w:val="00E66A09"/>
    <w:rsid w:val="00E67266"/>
    <w:rsid w:val="00E672C2"/>
    <w:rsid w:val="00E7712A"/>
    <w:rsid w:val="00E82109"/>
    <w:rsid w:val="00E8481C"/>
    <w:rsid w:val="00E8682D"/>
    <w:rsid w:val="00EA5C59"/>
    <w:rsid w:val="00ED68BA"/>
    <w:rsid w:val="00EE1FC1"/>
    <w:rsid w:val="00EE2385"/>
    <w:rsid w:val="00EE5756"/>
    <w:rsid w:val="00EF2363"/>
    <w:rsid w:val="00F06446"/>
    <w:rsid w:val="00F078CC"/>
    <w:rsid w:val="00F13C2D"/>
    <w:rsid w:val="00F17FD6"/>
    <w:rsid w:val="00F50DCA"/>
    <w:rsid w:val="00F553B4"/>
    <w:rsid w:val="00F72689"/>
    <w:rsid w:val="00FB1E78"/>
    <w:rsid w:val="00FC28F7"/>
    <w:rsid w:val="00FC57F6"/>
    <w:rsid w:val="00FC6247"/>
    <w:rsid w:val="00FE44DB"/>
    <w:rsid w:val="00FF413B"/>
    <w:rsid w:val="0367437F"/>
    <w:rsid w:val="06EC04F9"/>
    <w:rsid w:val="089842EA"/>
    <w:rsid w:val="0AF0A2B3"/>
    <w:rsid w:val="0F8644F3"/>
    <w:rsid w:val="17FE3AB5"/>
    <w:rsid w:val="1E14F6EF"/>
    <w:rsid w:val="28CDADF0"/>
    <w:rsid w:val="29BF1218"/>
    <w:rsid w:val="2C0AA2D0"/>
    <w:rsid w:val="2DEB4178"/>
    <w:rsid w:val="312F27C4"/>
    <w:rsid w:val="3256C879"/>
    <w:rsid w:val="3505FC0F"/>
    <w:rsid w:val="380DF31A"/>
    <w:rsid w:val="399B185A"/>
    <w:rsid w:val="4335E9CD"/>
    <w:rsid w:val="458444D8"/>
    <w:rsid w:val="47201539"/>
    <w:rsid w:val="518F5682"/>
    <w:rsid w:val="51B70EF2"/>
    <w:rsid w:val="51D86F6D"/>
    <w:rsid w:val="5374858E"/>
    <w:rsid w:val="54D8CE30"/>
    <w:rsid w:val="55723530"/>
    <w:rsid w:val="5A977D48"/>
    <w:rsid w:val="5C4BAB54"/>
    <w:rsid w:val="5DCF1E0A"/>
    <w:rsid w:val="66552363"/>
    <w:rsid w:val="74A038DD"/>
    <w:rsid w:val="78A3FB10"/>
    <w:rsid w:val="7E64D6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70C6"/>
  <w15:chartTrackingRefBased/>
  <w15:docId w15:val="{2F3490AA-D89C-4C97-9458-5F3EF3B1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6101"/>
    <w:pPr>
      <w:spacing w:line="256" w:lineRule="auto"/>
    </w:pPr>
  </w:style>
  <w:style w:type="paragraph" w:styleId="Cmsor1">
    <w:name w:val="heading 1"/>
    <w:basedOn w:val="Norml"/>
    <w:next w:val="Norml"/>
    <w:link w:val="Cmsor1Char"/>
    <w:uiPriority w:val="9"/>
    <w:qFormat/>
    <w:rsid w:val="0015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5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541D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541D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541D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541D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541D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541D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541D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541D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541D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541D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541D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541D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541D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541D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541D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541D3"/>
    <w:rPr>
      <w:rFonts w:eastAsiaTheme="majorEastAsia" w:cstheme="majorBidi"/>
      <w:color w:val="272727" w:themeColor="text1" w:themeTint="D8"/>
    </w:rPr>
  </w:style>
  <w:style w:type="paragraph" w:styleId="Cm">
    <w:name w:val="Title"/>
    <w:basedOn w:val="Norml"/>
    <w:next w:val="Norml"/>
    <w:link w:val="CmChar"/>
    <w:uiPriority w:val="10"/>
    <w:qFormat/>
    <w:rsid w:val="00154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541D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541D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541D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541D3"/>
    <w:pPr>
      <w:spacing w:before="160"/>
      <w:jc w:val="center"/>
    </w:pPr>
    <w:rPr>
      <w:i/>
      <w:iCs/>
      <w:color w:val="404040" w:themeColor="text1" w:themeTint="BF"/>
    </w:rPr>
  </w:style>
  <w:style w:type="character" w:customStyle="1" w:styleId="IdzetChar">
    <w:name w:val="Idézet Char"/>
    <w:basedOn w:val="Bekezdsalapbettpusa"/>
    <w:link w:val="Idzet"/>
    <w:uiPriority w:val="29"/>
    <w:rsid w:val="001541D3"/>
    <w:rPr>
      <w:i/>
      <w:iCs/>
      <w:color w:val="404040" w:themeColor="text1" w:themeTint="BF"/>
    </w:rPr>
  </w:style>
  <w:style w:type="paragraph" w:styleId="Listaszerbekezds">
    <w:name w:val="List Paragraph"/>
    <w:basedOn w:val="Norml"/>
    <w:uiPriority w:val="34"/>
    <w:qFormat/>
    <w:rsid w:val="001541D3"/>
    <w:pPr>
      <w:ind w:left="720"/>
      <w:contextualSpacing/>
    </w:pPr>
  </w:style>
  <w:style w:type="character" w:styleId="Erskiemels">
    <w:name w:val="Intense Emphasis"/>
    <w:basedOn w:val="Bekezdsalapbettpusa"/>
    <w:uiPriority w:val="21"/>
    <w:qFormat/>
    <w:rsid w:val="001541D3"/>
    <w:rPr>
      <w:i/>
      <w:iCs/>
      <w:color w:val="0F4761" w:themeColor="accent1" w:themeShade="BF"/>
    </w:rPr>
  </w:style>
  <w:style w:type="paragraph" w:styleId="Kiemeltidzet">
    <w:name w:val="Intense Quote"/>
    <w:basedOn w:val="Norml"/>
    <w:next w:val="Norml"/>
    <w:link w:val="KiemeltidzetChar"/>
    <w:uiPriority w:val="30"/>
    <w:qFormat/>
    <w:rsid w:val="0015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541D3"/>
    <w:rPr>
      <w:i/>
      <w:iCs/>
      <w:color w:val="0F4761" w:themeColor="accent1" w:themeShade="BF"/>
    </w:rPr>
  </w:style>
  <w:style w:type="character" w:styleId="Ershivatkozs">
    <w:name w:val="Intense Reference"/>
    <w:basedOn w:val="Bekezdsalapbettpusa"/>
    <w:uiPriority w:val="32"/>
    <w:qFormat/>
    <w:rsid w:val="001541D3"/>
    <w:rPr>
      <w:b/>
      <w:bCs/>
      <w:smallCaps/>
      <w:color w:val="0F4761" w:themeColor="accent1" w:themeShade="BF"/>
      <w:spacing w:val="5"/>
    </w:rPr>
  </w:style>
  <w:style w:type="paragraph" w:styleId="Lbjegyzetszveg">
    <w:name w:val="footnote text"/>
    <w:basedOn w:val="Norml"/>
    <w:link w:val="LbjegyzetszvegChar"/>
    <w:uiPriority w:val="99"/>
    <w:semiHidden/>
    <w:unhideWhenUsed/>
    <w:rsid w:val="0040326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03261"/>
    <w:rPr>
      <w:sz w:val="20"/>
      <w:szCs w:val="20"/>
    </w:rPr>
  </w:style>
  <w:style w:type="character" w:styleId="Lbjegyzet-hivatkozs">
    <w:name w:val="footnote reference"/>
    <w:basedOn w:val="Bekezdsalapbettpusa"/>
    <w:uiPriority w:val="99"/>
    <w:semiHidden/>
    <w:unhideWhenUsed/>
    <w:rsid w:val="00403261"/>
    <w:rPr>
      <w:vertAlign w:val="superscript"/>
    </w:rPr>
  </w:style>
  <w:style w:type="character" w:styleId="Hiperhivatkozs">
    <w:name w:val="Hyperlink"/>
    <w:basedOn w:val="Bekezdsalapbettpusa"/>
    <w:uiPriority w:val="99"/>
    <w:unhideWhenUsed/>
    <w:rsid w:val="0043154A"/>
    <w:rPr>
      <w:color w:val="467886" w:themeColor="hyperlink"/>
      <w:u w:val="single"/>
    </w:rPr>
  </w:style>
  <w:style w:type="character" w:customStyle="1" w:styleId="UnresolvedMention">
    <w:name w:val="Unresolved Mention"/>
    <w:basedOn w:val="Bekezdsalapbettpusa"/>
    <w:uiPriority w:val="99"/>
    <w:semiHidden/>
    <w:unhideWhenUsed/>
    <w:rsid w:val="0043154A"/>
    <w:rPr>
      <w:color w:val="605E5C"/>
      <w:shd w:val="clear" w:color="auto" w:fill="E1DFDD"/>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sz w:val="20"/>
      <w:szCs w:val="20"/>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B553F2"/>
    <w:pPr>
      <w:spacing w:after="0" w:line="240" w:lineRule="auto"/>
    </w:pPr>
  </w:style>
  <w:style w:type="paragraph" w:styleId="Megjegyzstrgya">
    <w:name w:val="annotation subject"/>
    <w:basedOn w:val="Jegyzetszveg"/>
    <w:next w:val="Jegyzetszveg"/>
    <w:link w:val="MegjegyzstrgyaChar"/>
    <w:uiPriority w:val="99"/>
    <w:semiHidden/>
    <w:unhideWhenUsed/>
    <w:rsid w:val="00373E65"/>
    <w:rPr>
      <w:b/>
      <w:bCs/>
    </w:rPr>
  </w:style>
  <w:style w:type="character" w:customStyle="1" w:styleId="MegjegyzstrgyaChar">
    <w:name w:val="Megjegyzés tárgya Char"/>
    <w:basedOn w:val="JegyzetszvegChar"/>
    <w:link w:val="Megjegyzstrgya"/>
    <w:uiPriority w:val="99"/>
    <w:semiHidden/>
    <w:rsid w:val="00373E65"/>
    <w:rPr>
      <w:b/>
      <w:bCs/>
      <w:sz w:val="20"/>
      <w:szCs w:val="20"/>
    </w:rPr>
  </w:style>
  <w:style w:type="paragraph" w:styleId="lfej">
    <w:name w:val="header"/>
    <w:basedOn w:val="Norml"/>
    <w:link w:val="lfejChar"/>
    <w:uiPriority w:val="99"/>
    <w:unhideWhenUsed/>
    <w:rsid w:val="00FF413B"/>
    <w:pPr>
      <w:tabs>
        <w:tab w:val="center" w:pos="4536"/>
        <w:tab w:val="right" w:pos="9072"/>
      </w:tabs>
      <w:spacing w:after="0" w:line="240" w:lineRule="auto"/>
    </w:pPr>
  </w:style>
  <w:style w:type="character" w:customStyle="1" w:styleId="lfejChar">
    <w:name w:val="Élőfej Char"/>
    <w:basedOn w:val="Bekezdsalapbettpusa"/>
    <w:link w:val="lfej"/>
    <w:uiPriority w:val="99"/>
    <w:rsid w:val="00FF413B"/>
  </w:style>
  <w:style w:type="paragraph" w:styleId="llb">
    <w:name w:val="footer"/>
    <w:basedOn w:val="Norml"/>
    <w:link w:val="llbChar"/>
    <w:uiPriority w:val="99"/>
    <w:unhideWhenUsed/>
    <w:rsid w:val="00FF413B"/>
    <w:pPr>
      <w:tabs>
        <w:tab w:val="center" w:pos="4536"/>
        <w:tab w:val="right" w:pos="9072"/>
      </w:tabs>
      <w:spacing w:after="0" w:line="240" w:lineRule="auto"/>
    </w:pPr>
  </w:style>
  <w:style w:type="character" w:customStyle="1" w:styleId="llbChar">
    <w:name w:val="Élőláb Char"/>
    <w:basedOn w:val="Bekezdsalapbettpusa"/>
    <w:link w:val="llb"/>
    <w:uiPriority w:val="99"/>
    <w:rsid w:val="00FF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4147">
      <w:bodyDiv w:val="1"/>
      <w:marLeft w:val="0"/>
      <w:marRight w:val="0"/>
      <w:marTop w:val="0"/>
      <w:marBottom w:val="0"/>
      <w:divBdr>
        <w:top w:val="none" w:sz="0" w:space="0" w:color="auto"/>
        <w:left w:val="none" w:sz="0" w:space="0" w:color="auto"/>
        <w:bottom w:val="none" w:sz="0" w:space="0" w:color="auto"/>
        <w:right w:val="none" w:sz="0" w:space="0" w:color="auto"/>
      </w:divBdr>
    </w:div>
    <w:div w:id="11292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rmingham.ac.uk/study/short-courses/microcredential-cour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essionals.uu.nl/en/p/micro-credentia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courses/microcredentials/a-z-of-microcredentia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udy.unimelb.edu.au/study-with-us/professional-development/micro-credentials-and-short-cours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qa.eu/publications/QA-of-micro-credentials/" TargetMode="External"/><Relationship Id="rId1" Type="http://schemas.openxmlformats.org/officeDocument/2006/relationships/hyperlink" Target="https://eur-lex.europa.eu/legal-content/HU/TXT/HTML/?uri=CELEX:32022H0627(0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16CA-D6BB-4B89-882F-5739B56F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2320</Words>
  <Characters>16014</Characters>
  <Application>Microsoft Office Word</Application>
  <DocSecurity>0</DocSecurity>
  <Lines>133</Lines>
  <Paragraphs>36</Paragraphs>
  <ScaleCrop>false</ScaleCrop>
  <Company/>
  <LinksUpToDate>false</LinksUpToDate>
  <CharactersWithSpaces>18298</CharactersWithSpaces>
  <SharedDoc>false</SharedDoc>
  <HLinks>
    <vt:vector size="12" baseType="variant">
      <vt:variant>
        <vt:i4>4259925</vt:i4>
      </vt:variant>
      <vt:variant>
        <vt:i4>3</vt:i4>
      </vt:variant>
      <vt:variant>
        <vt:i4>0</vt:i4>
      </vt:variant>
      <vt:variant>
        <vt:i4>5</vt:i4>
      </vt:variant>
      <vt:variant>
        <vt:lpwstr>https://www.enqa.eu/publications/QA-of-micro-credentials/</vt:lpwstr>
      </vt:variant>
      <vt:variant>
        <vt:lpwstr/>
      </vt:variant>
      <vt:variant>
        <vt:i4>6094879</vt:i4>
      </vt:variant>
      <vt:variant>
        <vt:i4>0</vt:i4>
      </vt:variant>
      <vt:variant>
        <vt:i4>0</vt:i4>
      </vt:variant>
      <vt:variant>
        <vt:i4>5</vt:i4>
      </vt:variant>
      <vt:variant>
        <vt:lpwstr>https://eur-lex.europa.eu/legal-content/HU/TXT/HTML/?uri=CELEX:32022H0627(02)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Somssich Réka</dc:creator>
  <cp:keywords/>
  <dc:description/>
  <cp:lastModifiedBy>ELTE User</cp:lastModifiedBy>
  <cp:revision>3</cp:revision>
  <dcterms:created xsi:type="dcterms:W3CDTF">2024-06-11T03:19:00Z</dcterms:created>
  <dcterms:modified xsi:type="dcterms:W3CDTF">2025-05-21T06:38:00Z</dcterms:modified>
</cp:coreProperties>
</file>