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B8415" w14:textId="77777777" w:rsidR="004358FC" w:rsidRPr="00896159" w:rsidRDefault="004358FC" w:rsidP="004358FC">
      <w:pPr>
        <w:jc w:val="center"/>
        <w:rPr>
          <w:b/>
          <w:sz w:val="24"/>
        </w:rPr>
      </w:pPr>
      <w:r w:rsidRPr="00896159">
        <w:rPr>
          <w:b/>
          <w:sz w:val="24"/>
        </w:rPr>
        <w:t xml:space="preserve">Adatlap </w:t>
      </w:r>
      <w:r>
        <w:rPr>
          <w:b/>
          <w:sz w:val="24"/>
        </w:rPr>
        <w:t>diszlexiás, diszgráfiás, diszkalkuliás, diszortográfiás</w:t>
      </w:r>
      <w:r w:rsidRPr="00896159">
        <w:rPr>
          <w:b/>
          <w:sz w:val="24"/>
        </w:rPr>
        <w:t xml:space="preserve"> hallgatók speciális igényeinek felmérésére</w:t>
      </w:r>
    </w:p>
    <w:p w14:paraId="7A26F75C" w14:textId="77777777" w:rsidR="004358FC" w:rsidRPr="005547AE" w:rsidRDefault="004358FC" w:rsidP="004358FC">
      <w:pPr>
        <w:spacing w:line="240" w:lineRule="auto"/>
        <w:jc w:val="both"/>
        <w:rPr>
          <w:sz w:val="20"/>
        </w:rPr>
      </w:pPr>
      <w:r w:rsidRPr="005547AE">
        <w:rPr>
          <w:sz w:val="20"/>
        </w:rPr>
        <w:t xml:space="preserve">Az adatlapot önállóan, vagy a fogyatékosügyi koordinátor segítségével kérjük kitölteni és a regisztráció alkalmával átadni a koordinátornak. Az adatokat a fogyatékosügyi koordinátorok titkosan kezelik. </w:t>
      </w:r>
    </w:p>
    <w:p w14:paraId="43EC8D8A" w14:textId="77777777" w:rsidR="004358FC" w:rsidRPr="00896159" w:rsidRDefault="004358FC" w:rsidP="004358FC">
      <w:pPr>
        <w:spacing w:line="240" w:lineRule="auto"/>
        <w:jc w:val="both"/>
        <w:rPr>
          <w:b/>
          <w:sz w:val="24"/>
        </w:rPr>
      </w:pPr>
      <w:r w:rsidRPr="00896159">
        <w:rPr>
          <w:b/>
          <w:sz w:val="24"/>
        </w:rPr>
        <w:t>I. Személyes adatok</w:t>
      </w:r>
    </w:p>
    <w:p w14:paraId="64FED08E" w14:textId="77777777" w:rsidR="004358FC" w:rsidRPr="0018222A" w:rsidRDefault="004358FC" w:rsidP="004358FC">
      <w:pPr>
        <w:spacing w:line="240" w:lineRule="auto"/>
        <w:jc w:val="both"/>
        <w:rPr>
          <w:b/>
        </w:rPr>
      </w:pPr>
      <w:r w:rsidRPr="0018222A">
        <w:rPr>
          <w:b/>
        </w:rPr>
        <w:t>Hallgató neve:</w:t>
      </w:r>
    </w:p>
    <w:p w14:paraId="1E93C73B" w14:textId="77777777" w:rsidR="004358FC" w:rsidRPr="0018222A" w:rsidRDefault="004358FC" w:rsidP="004358FC">
      <w:pPr>
        <w:spacing w:line="240" w:lineRule="auto"/>
        <w:jc w:val="both"/>
        <w:rPr>
          <w:b/>
        </w:rPr>
      </w:pPr>
      <w:r w:rsidRPr="0018222A">
        <w:rPr>
          <w:b/>
        </w:rPr>
        <w:t>Neptun kódja:</w:t>
      </w:r>
    </w:p>
    <w:p w14:paraId="264EEEA3" w14:textId="77777777" w:rsidR="004358FC" w:rsidRPr="0018222A" w:rsidRDefault="004358FC" w:rsidP="004358FC">
      <w:pPr>
        <w:spacing w:line="240" w:lineRule="auto"/>
        <w:jc w:val="both"/>
        <w:rPr>
          <w:b/>
        </w:rPr>
      </w:pPr>
      <w:r w:rsidRPr="0018222A">
        <w:rPr>
          <w:b/>
        </w:rPr>
        <w:t xml:space="preserve">Kar, szak: </w:t>
      </w:r>
    </w:p>
    <w:p w14:paraId="3D25B2A4" w14:textId="77777777" w:rsidR="004358FC" w:rsidRPr="0018222A" w:rsidRDefault="004358FC" w:rsidP="004358FC">
      <w:pPr>
        <w:spacing w:line="240" w:lineRule="auto"/>
        <w:jc w:val="both"/>
      </w:pPr>
      <w:r w:rsidRPr="0018222A">
        <w:rPr>
          <w:b/>
        </w:rPr>
        <w:t>Tagozat</w:t>
      </w:r>
      <w:r w:rsidRPr="0018222A">
        <w:t>: Nappali/Esti/Levelező</w:t>
      </w:r>
    </w:p>
    <w:p w14:paraId="6A4305BB" w14:textId="77777777" w:rsidR="004358FC" w:rsidRPr="0018222A" w:rsidRDefault="004358FC" w:rsidP="004358FC">
      <w:pPr>
        <w:spacing w:line="240" w:lineRule="auto"/>
        <w:jc w:val="both"/>
      </w:pPr>
      <w:r w:rsidRPr="0018222A">
        <w:rPr>
          <w:b/>
        </w:rPr>
        <w:t>Képzési szint:</w:t>
      </w:r>
      <w:r w:rsidRPr="0018222A">
        <w:t xml:space="preserve"> Alapképzés/Mesterképzés/Doktori képzés/Osztatlan képzés </w:t>
      </w:r>
    </w:p>
    <w:p w14:paraId="283FD411" w14:textId="77777777" w:rsidR="004358FC" w:rsidRPr="0018222A" w:rsidRDefault="004358FC" w:rsidP="004358FC">
      <w:pPr>
        <w:spacing w:line="240" w:lineRule="auto"/>
        <w:jc w:val="both"/>
        <w:rPr>
          <w:b/>
        </w:rPr>
      </w:pPr>
      <w:r w:rsidRPr="0018222A">
        <w:rPr>
          <w:b/>
        </w:rPr>
        <w:t xml:space="preserve">Születési hely, idő: </w:t>
      </w:r>
    </w:p>
    <w:p w14:paraId="33B750B1" w14:textId="77777777" w:rsidR="004358FC" w:rsidRPr="0018222A" w:rsidRDefault="004358FC" w:rsidP="004358FC">
      <w:pPr>
        <w:spacing w:line="240" w:lineRule="auto"/>
        <w:jc w:val="both"/>
        <w:rPr>
          <w:b/>
        </w:rPr>
      </w:pPr>
      <w:r w:rsidRPr="0018222A">
        <w:rPr>
          <w:b/>
        </w:rPr>
        <w:t xml:space="preserve">Levelezési cím: </w:t>
      </w:r>
    </w:p>
    <w:p w14:paraId="1A9F58D7" w14:textId="77777777" w:rsidR="004358FC" w:rsidRPr="0018222A" w:rsidRDefault="004358FC" w:rsidP="004358FC">
      <w:pPr>
        <w:spacing w:line="240" w:lineRule="auto"/>
        <w:jc w:val="both"/>
        <w:rPr>
          <w:b/>
        </w:rPr>
      </w:pPr>
      <w:r w:rsidRPr="0018222A">
        <w:rPr>
          <w:b/>
        </w:rPr>
        <w:t xml:space="preserve">Telefonszám: </w:t>
      </w:r>
    </w:p>
    <w:p w14:paraId="6E1FEEF8" w14:textId="77777777" w:rsidR="004358FC" w:rsidRPr="0018222A" w:rsidRDefault="004358FC" w:rsidP="004358FC">
      <w:pPr>
        <w:spacing w:line="240" w:lineRule="auto"/>
        <w:jc w:val="both"/>
        <w:rPr>
          <w:b/>
        </w:rPr>
      </w:pPr>
      <w:r w:rsidRPr="0018222A">
        <w:rPr>
          <w:b/>
        </w:rPr>
        <w:t xml:space="preserve">E-mail cím: </w:t>
      </w:r>
    </w:p>
    <w:p w14:paraId="5A1F8924" w14:textId="77777777" w:rsidR="004358FC" w:rsidRPr="0018222A" w:rsidRDefault="004358FC" w:rsidP="004358FC">
      <w:pPr>
        <w:spacing w:line="240" w:lineRule="auto"/>
        <w:jc w:val="both"/>
        <w:rPr>
          <w:b/>
        </w:rPr>
      </w:pPr>
      <w:r w:rsidRPr="0018222A">
        <w:rPr>
          <w:b/>
        </w:rPr>
        <w:t xml:space="preserve">Beiratkozás időpontja: </w:t>
      </w:r>
    </w:p>
    <w:p w14:paraId="06DD1D66" w14:textId="77777777" w:rsidR="004358FC" w:rsidRPr="0018222A" w:rsidRDefault="004358FC" w:rsidP="004358FC">
      <w:pPr>
        <w:spacing w:line="240" w:lineRule="auto"/>
        <w:jc w:val="both"/>
        <w:rPr>
          <w:b/>
        </w:rPr>
      </w:pPr>
      <w:r>
        <w:rPr>
          <w:noProof/>
          <w:lang w:eastAsia="hu-HU"/>
        </w:rPr>
        <mc:AlternateContent>
          <mc:Choice Requires="wps">
            <w:drawing>
              <wp:anchor distT="0" distB="0" distL="114300" distR="114300" simplePos="0" relativeHeight="251659264" behindDoc="0" locked="0" layoutInCell="1" allowOverlap="1" wp14:anchorId="027983D1" wp14:editId="0AC2919E">
                <wp:simplePos x="0" y="0"/>
                <wp:positionH relativeFrom="margin">
                  <wp:align>left</wp:align>
                </wp:positionH>
                <wp:positionV relativeFrom="paragraph">
                  <wp:posOffset>295192</wp:posOffset>
                </wp:positionV>
                <wp:extent cx="6562725" cy="9525"/>
                <wp:effectExtent l="19050" t="38100" r="104775" b="104775"/>
                <wp:wrapNone/>
                <wp:docPr id="1" name="Egyenes összekötő 1"/>
                <wp:cNvGraphicFramePr/>
                <a:graphic xmlns:a="http://schemas.openxmlformats.org/drawingml/2006/main">
                  <a:graphicData uri="http://schemas.microsoft.com/office/word/2010/wordprocessingShape">
                    <wps:wsp>
                      <wps:cNvCnPr/>
                      <wps:spPr>
                        <a:xfrm>
                          <a:off x="0" y="0"/>
                          <a:ext cx="6562725" cy="9525"/>
                        </a:xfrm>
                        <a:prstGeom prst="line">
                          <a:avLst/>
                        </a:prstGeom>
                        <a:ln>
                          <a:solidFill>
                            <a:schemeClr val="bg1">
                              <a:lumMod val="50000"/>
                            </a:schemeClr>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10544A38" id="Egyenes összekötő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23.25pt" to="516.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" strokecolor="#7f7f7f [1612]">
                <v:shadow on="t" color="black" opacity="26214f" origin="-.5,-.5" offset=".74836mm,.74836mm"/>
                <w10:wrap anchorx="margin"/>
              </v:line>
            </w:pict>
          </mc:Fallback>
        </mc:AlternateContent>
      </w:r>
      <w:r w:rsidRPr="0018222A">
        <w:rPr>
          <w:b/>
        </w:rPr>
        <w:t>Regisztráció időpontja:</w:t>
      </w:r>
    </w:p>
    <w:p w14:paraId="6BBD7412" w14:textId="77777777" w:rsidR="004358FC" w:rsidRDefault="004358FC" w:rsidP="004358FC">
      <w:pPr>
        <w:jc w:val="both"/>
      </w:pPr>
    </w:p>
    <w:p w14:paraId="5E1AC236" w14:textId="77777777" w:rsidR="004358FC" w:rsidRPr="00896159" w:rsidRDefault="004358FC" w:rsidP="004358FC">
      <w:pPr>
        <w:jc w:val="both"/>
        <w:rPr>
          <w:b/>
          <w:sz w:val="24"/>
        </w:rPr>
      </w:pPr>
      <w:r w:rsidRPr="00896159">
        <w:rPr>
          <w:b/>
          <w:sz w:val="24"/>
        </w:rPr>
        <w:t>II. Fogyatékosság típusa (kérjük, húzza alá a megfelelő választ</w:t>
      </w:r>
      <w:r>
        <w:rPr>
          <w:b/>
          <w:sz w:val="24"/>
        </w:rPr>
        <w:t>/válaszokat</w:t>
      </w:r>
      <w:r w:rsidRPr="00896159">
        <w:rPr>
          <w:b/>
          <w:sz w:val="24"/>
        </w:rPr>
        <w:t>)</w:t>
      </w:r>
    </w:p>
    <w:p w14:paraId="43996C35" w14:textId="77777777" w:rsidR="004358FC" w:rsidRDefault="004358FC" w:rsidP="004358FC">
      <w:pPr>
        <w:jc w:val="both"/>
      </w:pPr>
      <w:r>
        <w:t>diszlexia</w:t>
      </w:r>
    </w:p>
    <w:p w14:paraId="6FD8F7E1" w14:textId="77777777" w:rsidR="004358FC" w:rsidRDefault="004358FC" w:rsidP="004358FC">
      <w:pPr>
        <w:jc w:val="both"/>
      </w:pPr>
      <w:r>
        <w:t>diszgráfia</w:t>
      </w:r>
    </w:p>
    <w:p w14:paraId="71AA6FA4" w14:textId="77777777" w:rsidR="004358FC" w:rsidRDefault="004358FC" w:rsidP="004358FC">
      <w:pPr>
        <w:jc w:val="both"/>
      </w:pPr>
      <w:proofErr w:type="spellStart"/>
      <w:r>
        <w:t>diszkalkulia</w:t>
      </w:r>
      <w:proofErr w:type="spellEnd"/>
    </w:p>
    <w:p w14:paraId="3289DEFD" w14:textId="77777777" w:rsidR="004358FC" w:rsidRDefault="004358FC" w:rsidP="004358FC">
      <w:pPr>
        <w:jc w:val="both"/>
      </w:pPr>
      <w:r>
        <w:t>diszortográfia</w:t>
      </w:r>
    </w:p>
    <w:p w14:paraId="6E3C65DA" w14:textId="77777777" w:rsidR="004358FC" w:rsidRPr="005547AE" w:rsidRDefault="004358FC" w:rsidP="004358FC">
      <w:pPr>
        <w:jc w:val="both"/>
      </w:pPr>
      <w:r>
        <w:t xml:space="preserve">kevert tanulási zavar </w:t>
      </w:r>
    </w:p>
    <w:p w14:paraId="1E1C4326" w14:textId="77777777" w:rsidR="004358FC" w:rsidRDefault="004358FC" w:rsidP="004358FC">
      <w:pPr>
        <w:jc w:val="both"/>
      </w:pPr>
    </w:p>
    <w:p w14:paraId="3D48D276" w14:textId="77777777" w:rsidR="004358FC" w:rsidRDefault="004358FC" w:rsidP="004358FC">
      <w:pPr>
        <w:rPr>
          <w:b/>
          <w:sz w:val="24"/>
        </w:rPr>
      </w:pPr>
      <w:r>
        <w:rPr>
          <w:b/>
          <w:sz w:val="24"/>
        </w:rPr>
        <w:br w:type="page"/>
      </w:r>
    </w:p>
    <w:p w14:paraId="2DBEC18D" w14:textId="77777777" w:rsidR="004358FC" w:rsidRDefault="004358FC" w:rsidP="004358FC">
      <w:pPr>
        <w:jc w:val="both"/>
        <w:rPr>
          <w:b/>
          <w:sz w:val="24"/>
        </w:rPr>
      </w:pPr>
      <w:r w:rsidRPr="00896159">
        <w:rPr>
          <w:b/>
          <w:sz w:val="24"/>
        </w:rPr>
        <w:lastRenderedPageBreak/>
        <w:t xml:space="preserve">III. Speciális igények </w:t>
      </w:r>
      <w:r>
        <w:rPr>
          <w:b/>
          <w:sz w:val="24"/>
        </w:rPr>
        <w:t xml:space="preserve">(kérjük, jelölje meg az igényelt kedvezményeket) </w:t>
      </w:r>
    </w:p>
    <w:p w14:paraId="0A13F90C" w14:textId="7548D4F6" w:rsidR="004358FC" w:rsidRPr="005973A8" w:rsidRDefault="004358FC" w:rsidP="005973A8">
      <w:pPr>
        <w:pStyle w:val="Cmsor2"/>
        <w:rPr>
          <w:bCs/>
          <w:sz w:val="20"/>
          <w:szCs w:val="18"/>
        </w:rPr>
      </w:pPr>
      <w:r>
        <w:t>III./1. Tanulmányokhoz nyújtott többletsegítségek, kedvezmények</w:t>
      </w:r>
      <w:r w:rsidR="005973A8">
        <w:rPr>
          <w:b w:val="0"/>
        </w:rPr>
        <w:t xml:space="preserve"> </w:t>
      </w:r>
      <w:r w:rsidR="005973A8" w:rsidRPr="00B4673A">
        <w:rPr>
          <w:bCs/>
          <w:sz w:val="20"/>
          <w:szCs w:val="18"/>
        </w:rPr>
        <w:t>(kérjük x-szel jelölje meg az igényelt kedvezményt)</w:t>
      </w:r>
    </w:p>
    <w:p w14:paraId="3B45E507" w14:textId="77777777" w:rsidR="004358FC" w:rsidRPr="00EE34ED" w:rsidRDefault="004358FC" w:rsidP="004358FC">
      <w:pPr>
        <w:jc w:val="both"/>
        <w:rPr>
          <w:b/>
          <w:sz w:val="24"/>
        </w:rPr>
      </w:pPr>
      <w:r w:rsidRPr="00E61CE0">
        <w:rPr>
          <w:b/>
        </w:rPr>
        <w:t xml:space="preserve">Speciális szükségletű hallgatók részére egységesen </w:t>
      </w:r>
      <w:r>
        <w:rPr>
          <w:b/>
        </w:rPr>
        <w:t>adható</w:t>
      </w:r>
      <w:r w:rsidRPr="00E61CE0">
        <w:rPr>
          <w:b/>
        </w:rPr>
        <w:t xml:space="preserve"> kedvezmények</w:t>
      </w:r>
    </w:p>
    <w:tbl>
      <w:tblPr>
        <w:tblStyle w:val="Rcsostblzat"/>
        <w:tblW w:w="10941" w:type="dxa"/>
        <w:tblLook w:val="04A0" w:firstRow="1" w:lastRow="0" w:firstColumn="1" w:lastColumn="0" w:noHBand="0" w:noVBand="1"/>
      </w:tblPr>
      <w:tblGrid>
        <w:gridCol w:w="10506"/>
        <w:gridCol w:w="435"/>
      </w:tblGrid>
      <w:tr w:rsidR="004358FC" w14:paraId="424E18FF" w14:textId="77777777" w:rsidTr="007F625D">
        <w:trPr>
          <w:trHeight w:val="243"/>
        </w:trPr>
        <w:tc>
          <w:tcPr>
            <w:tcW w:w="10506" w:type="dxa"/>
          </w:tcPr>
          <w:p w14:paraId="037002B5" w14:textId="77777777" w:rsidR="004358FC" w:rsidRDefault="004358FC" w:rsidP="00C57653">
            <w:pPr>
              <w:jc w:val="both"/>
            </w:pPr>
            <w:r>
              <w:t>Előadások hangrögzítésének igénye.</w:t>
            </w:r>
            <w:r>
              <w:rPr>
                <w:rStyle w:val="Lbjegyzet-hivatkozs"/>
              </w:rPr>
              <w:footnoteReference w:id="1"/>
            </w:r>
          </w:p>
        </w:tc>
        <w:tc>
          <w:tcPr>
            <w:tcW w:w="435" w:type="dxa"/>
          </w:tcPr>
          <w:p w14:paraId="7B247FF7" w14:textId="77777777" w:rsidR="004358FC" w:rsidRDefault="004358FC" w:rsidP="00C57653">
            <w:pPr>
              <w:jc w:val="both"/>
            </w:pPr>
          </w:p>
        </w:tc>
      </w:tr>
      <w:tr w:rsidR="004358FC" w14:paraId="03EFDA73" w14:textId="77777777" w:rsidTr="00C57653">
        <w:trPr>
          <w:trHeight w:val="385"/>
        </w:trPr>
        <w:tc>
          <w:tcPr>
            <w:tcW w:w="10506" w:type="dxa"/>
          </w:tcPr>
          <w:p w14:paraId="4921C8A0" w14:textId="77777777" w:rsidR="004358FC" w:rsidRDefault="004358FC" w:rsidP="00C57653">
            <w:pPr>
              <w:jc w:val="both"/>
            </w:pPr>
            <w:r>
              <w:t>Az előadáson használt ppt-k és egyéb elektronikus tananyagok megküldésének igénye.</w:t>
            </w:r>
            <w:r>
              <w:rPr>
                <w:rStyle w:val="Lbjegyzet-hivatkozs"/>
              </w:rPr>
              <w:footnoteReference w:id="2"/>
            </w:r>
          </w:p>
        </w:tc>
        <w:tc>
          <w:tcPr>
            <w:tcW w:w="435" w:type="dxa"/>
          </w:tcPr>
          <w:p w14:paraId="301A81BC" w14:textId="77777777" w:rsidR="004358FC" w:rsidRDefault="004358FC" w:rsidP="00C57653">
            <w:pPr>
              <w:jc w:val="both"/>
            </w:pPr>
          </w:p>
        </w:tc>
      </w:tr>
      <w:tr w:rsidR="004358FC" w14:paraId="2E94ABC4" w14:textId="77777777" w:rsidTr="007F625D">
        <w:trPr>
          <w:trHeight w:val="566"/>
        </w:trPr>
        <w:tc>
          <w:tcPr>
            <w:tcW w:w="10506" w:type="dxa"/>
          </w:tcPr>
          <w:p w14:paraId="239C1664" w14:textId="77777777" w:rsidR="004358FC" w:rsidRDefault="004358FC" w:rsidP="00C57653">
            <w:pPr>
              <w:jc w:val="both"/>
            </w:pPr>
            <w:r>
              <w:t>A nem fogyatékossággal élő hallgatókra megállapított felkészülési időnél legalább 30%-kal hosszabb felkészülési idő biztosítása.</w:t>
            </w:r>
            <w:r>
              <w:rPr>
                <w:rStyle w:val="Lbjegyzet-hivatkozs"/>
              </w:rPr>
              <w:footnoteReference w:id="3"/>
            </w:r>
          </w:p>
        </w:tc>
        <w:tc>
          <w:tcPr>
            <w:tcW w:w="435" w:type="dxa"/>
          </w:tcPr>
          <w:p w14:paraId="3613BF0A" w14:textId="77777777" w:rsidR="004358FC" w:rsidRDefault="004358FC" w:rsidP="00C57653">
            <w:pPr>
              <w:jc w:val="both"/>
            </w:pPr>
          </w:p>
        </w:tc>
      </w:tr>
      <w:tr w:rsidR="004358FC" w14:paraId="5D1B4132" w14:textId="77777777" w:rsidTr="007F625D">
        <w:trPr>
          <w:trHeight w:val="435"/>
        </w:trPr>
        <w:tc>
          <w:tcPr>
            <w:tcW w:w="10506" w:type="dxa"/>
          </w:tcPr>
          <w:p w14:paraId="188E3C79" w14:textId="77777777" w:rsidR="004358FC" w:rsidRDefault="004358FC" w:rsidP="00C57653">
            <w:pPr>
              <w:jc w:val="both"/>
            </w:pPr>
            <w:r>
              <w:t>Kurzusjelentkezés során 1000 többletpont</w:t>
            </w:r>
          </w:p>
          <w:p w14:paraId="23B29F43" w14:textId="69377AA5" w:rsidR="004358FC" w:rsidRPr="00AD35FE" w:rsidRDefault="005973A8" w:rsidP="00C57653">
            <w:pPr>
              <w:jc w:val="both"/>
            </w:pPr>
            <w:r w:rsidRPr="005B6FF7">
              <w:rPr>
                <w:sz w:val="18"/>
                <w:szCs w:val="18"/>
              </w:rPr>
              <w:t>(Igénybevételéhez a</w:t>
            </w:r>
            <w:r>
              <w:rPr>
                <w:sz w:val="18"/>
                <w:szCs w:val="18"/>
              </w:rPr>
              <w:t xml:space="preserve">z alább megtalálható </w:t>
            </w:r>
            <w:r w:rsidRPr="005B6FF7">
              <w:rPr>
                <w:sz w:val="18"/>
                <w:szCs w:val="18"/>
              </w:rPr>
              <w:t>nyilatkozat kitöltése szükséges.)</w:t>
            </w:r>
          </w:p>
        </w:tc>
        <w:tc>
          <w:tcPr>
            <w:tcW w:w="435" w:type="dxa"/>
          </w:tcPr>
          <w:p w14:paraId="169494C0" w14:textId="77777777" w:rsidR="004358FC" w:rsidRDefault="004358FC" w:rsidP="00C57653">
            <w:pPr>
              <w:jc w:val="both"/>
            </w:pPr>
          </w:p>
        </w:tc>
      </w:tr>
    </w:tbl>
    <w:p w14:paraId="4BB51B2C" w14:textId="77777777" w:rsidR="007F625D" w:rsidRDefault="004358FC" w:rsidP="007F625D">
      <w:pPr>
        <w:spacing w:before="480" w:after="240" w:line="240" w:lineRule="auto"/>
        <w:jc w:val="both"/>
      </w:pPr>
      <w:r>
        <w:t>A hallgató kérésére a felsőoktatási intézmény az államilag támogatott féléveinek számát legfeljebb négy félévvel megnövelheti</w:t>
      </w:r>
      <w:r w:rsidRPr="00C07D28">
        <w:t xml:space="preserve"> </w:t>
      </w:r>
      <w:r>
        <w:rPr>
          <w:rStyle w:val="Lbjegyzet-hivatkozs"/>
        </w:rPr>
        <w:footnoteReference w:id="4"/>
      </w:r>
    </w:p>
    <w:p w14:paraId="6E418B80" w14:textId="5D522CB5" w:rsidR="004358FC" w:rsidRPr="005973A8" w:rsidRDefault="00206714" w:rsidP="005973A8">
      <w:pPr>
        <w:spacing w:before="480" w:after="240" w:line="240" w:lineRule="auto"/>
        <w:jc w:val="both"/>
      </w:pPr>
      <w:r w:rsidRPr="00206714">
        <w:t>A regisztrált speciális szükségletű hallgatók mentesülnek a magyar állami (rész)ösztöndíjas képzésből önköltséges képzésbe történő tanulmányi alapú átsorolás alól</w:t>
      </w:r>
      <w:r w:rsidR="004358FC">
        <w:rPr>
          <w:rStyle w:val="Lbjegyzet-hivatkozs"/>
        </w:rPr>
        <w:footnoteReference w:id="5"/>
      </w:r>
    </w:p>
    <w:p w14:paraId="639194D3" w14:textId="77777777" w:rsidR="004358FC" w:rsidRPr="00A73F21" w:rsidRDefault="004358FC" w:rsidP="004358FC">
      <w:pPr>
        <w:pStyle w:val="Listaszerbekezds"/>
        <w:numPr>
          <w:ilvl w:val="0"/>
          <w:numId w:val="9"/>
        </w:numPr>
        <w:jc w:val="both"/>
        <w:rPr>
          <w:rFonts w:asciiTheme="minorHAnsi" w:eastAsiaTheme="minorHAnsi" w:hAnsiTheme="minorHAnsi" w:cstheme="minorBidi"/>
          <w:b/>
        </w:rPr>
      </w:pPr>
      <w:r w:rsidRPr="00A73F21">
        <w:rPr>
          <w:rFonts w:asciiTheme="minorHAnsi" w:eastAsiaTheme="minorHAnsi" w:hAnsiTheme="minorHAnsi" w:cstheme="minorBidi"/>
          <w:b/>
        </w:rPr>
        <w:t>a diszlexiás-diszgráfiás-diszortográfiás hallgatónál:</w:t>
      </w:r>
    </w:p>
    <w:tbl>
      <w:tblPr>
        <w:tblStyle w:val="Rcsostblzat"/>
        <w:tblW w:w="10941" w:type="dxa"/>
        <w:tblLook w:val="04A0" w:firstRow="1" w:lastRow="0" w:firstColumn="1" w:lastColumn="0" w:noHBand="0" w:noVBand="1"/>
      </w:tblPr>
      <w:tblGrid>
        <w:gridCol w:w="10515"/>
        <w:gridCol w:w="426"/>
      </w:tblGrid>
      <w:tr w:rsidR="004358FC" w14:paraId="5A64A6B0" w14:textId="77777777" w:rsidTr="00C57653">
        <w:trPr>
          <w:trHeight w:val="391"/>
        </w:trPr>
        <w:tc>
          <w:tcPr>
            <w:tcW w:w="10515" w:type="dxa"/>
          </w:tcPr>
          <w:p w14:paraId="63074F12" w14:textId="77777777" w:rsidR="004358FC" w:rsidRDefault="004358FC" w:rsidP="00C57653">
            <w:pPr>
              <w:jc w:val="both"/>
            </w:pPr>
            <w:r>
              <w:t>Az írásbeli vizsga helyett szóbeli vizsga vagy szóbeli helyett írásbeli vizsga</w:t>
            </w:r>
            <w:r>
              <w:rPr>
                <w:rStyle w:val="Lbjegyzet-hivatkozs"/>
              </w:rPr>
              <w:footnoteReference w:id="6"/>
            </w:r>
          </w:p>
        </w:tc>
        <w:tc>
          <w:tcPr>
            <w:tcW w:w="426" w:type="dxa"/>
          </w:tcPr>
          <w:p w14:paraId="2A715F60" w14:textId="77777777" w:rsidR="004358FC" w:rsidRDefault="004358FC" w:rsidP="00C57653">
            <w:pPr>
              <w:jc w:val="both"/>
            </w:pPr>
          </w:p>
        </w:tc>
      </w:tr>
      <w:tr w:rsidR="004358FC" w14:paraId="1A304E74" w14:textId="77777777" w:rsidTr="00C57653">
        <w:trPr>
          <w:trHeight w:val="695"/>
        </w:trPr>
        <w:tc>
          <w:tcPr>
            <w:tcW w:w="10515" w:type="dxa"/>
          </w:tcPr>
          <w:p w14:paraId="625B8C58" w14:textId="77777777" w:rsidR="004358FC" w:rsidRDefault="004358FC" w:rsidP="00C57653">
            <w:pPr>
              <w:jc w:val="both"/>
            </w:pPr>
            <w:r>
              <w:t>A vizsgán a szükséges segédeszközök (különösen számítógép, írógép, helyesírási szótár, értelmező szótár, szinonima szótár) biztosítása</w:t>
            </w:r>
            <w:r>
              <w:rPr>
                <w:rStyle w:val="Lbjegyzet-hivatkozs"/>
              </w:rPr>
              <w:footnoteReference w:id="7"/>
            </w:r>
          </w:p>
        </w:tc>
        <w:tc>
          <w:tcPr>
            <w:tcW w:w="426" w:type="dxa"/>
          </w:tcPr>
          <w:p w14:paraId="6D240713" w14:textId="77777777" w:rsidR="004358FC" w:rsidRDefault="004358FC" w:rsidP="00C57653">
            <w:pPr>
              <w:jc w:val="both"/>
            </w:pPr>
          </w:p>
        </w:tc>
      </w:tr>
      <w:tr w:rsidR="004358FC" w14:paraId="10FB9150" w14:textId="77777777" w:rsidTr="00C57653">
        <w:trPr>
          <w:trHeight w:val="421"/>
        </w:trPr>
        <w:tc>
          <w:tcPr>
            <w:tcW w:w="10515" w:type="dxa"/>
          </w:tcPr>
          <w:p w14:paraId="4A3E7701" w14:textId="77777777" w:rsidR="004358FC" w:rsidRDefault="004358FC" w:rsidP="00C57653">
            <w:pPr>
              <w:jc w:val="both"/>
            </w:pPr>
            <w:r>
              <w:t xml:space="preserve">Segédeszköz-kölcsönzés: laptop / tablet / diktafon </w:t>
            </w:r>
          </w:p>
        </w:tc>
        <w:tc>
          <w:tcPr>
            <w:tcW w:w="426" w:type="dxa"/>
          </w:tcPr>
          <w:p w14:paraId="59684A69" w14:textId="77777777" w:rsidR="004358FC" w:rsidRDefault="004358FC" w:rsidP="00C57653">
            <w:pPr>
              <w:jc w:val="both"/>
            </w:pPr>
          </w:p>
        </w:tc>
      </w:tr>
      <w:tr w:rsidR="004358FC" w14:paraId="08C40228" w14:textId="77777777" w:rsidTr="00C57653">
        <w:tc>
          <w:tcPr>
            <w:tcW w:w="10515" w:type="dxa"/>
          </w:tcPr>
          <w:p w14:paraId="1E026482" w14:textId="77777777" w:rsidR="004358FC" w:rsidRDefault="004358FC" w:rsidP="00C57653">
            <w:pPr>
              <w:jc w:val="both"/>
            </w:pPr>
            <w:r>
              <w:t xml:space="preserve">Speciális Hallgatói Ügyeket Támogató Iroda </w:t>
            </w:r>
            <w:r w:rsidRPr="00782C7D">
              <w:t>egyéni gyógypedagógiai</w:t>
            </w:r>
            <w:r>
              <w:t xml:space="preserve"> </w:t>
            </w:r>
            <w:r w:rsidRPr="00782C7D">
              <w:t>szolgáltatásai</w:t>
            </w:r>
          </w:p>
          <w:p w14:paraId="5CD69CC7" w14:textId="77777777" w:rsidR="004358FC" w:rsidRDefault="00062EA8" w:rsidP="00C57653">
            <w:pPr>
              <w:jc w:val="both"/>
            </w:pPr>
            <w:hyperlink r:id="rId8" w:history="1">
              <w:r w:rsidR="004358FC" w:rsidRPr="007F625D">
                <w:rPr>
                  <w:rStyle w:val="Hiperhivatkozs"/>
                  <w:color w:val="0070C0"/>
                </w:rPr>
                <w:t>https://www.elte.hu/eselyegyenloseg/tanulas</w:t>
              </w:r>
            </w:hyperlink>
            <w:r w:rsidR="004358FC" w:rsidRPr="007F625D">
              <w:rPr>
                <w:color w:val="0070C0"/>
              </w:rPr>
              <w:t xml:space="preserve"> </w:t>
            </w:r>
          </w:p>
        </w:tc>
        <w:tc>
          <w:tcPr>
            <w:tcW w:w="426" w:type="dxa"/>
          </w:tcPr>
          <w:p w14:paraId="3049580F" w14:textId="77777777" w:rsidR="004358FC" w:rsidRDefault="004358FC" w:rsidP="00C57653">
            <w:pPr>
              <w:jc w:val="both"/>
            </w:pPr>
          </w:p>
        </w:tc>
      </w:tr>
    </w:tbl>
    <w:p w14:paraId="612D8369" w14:textId="77777777" w:rsidR="004358FC" w:rsidRPr="00A73F21" w:rsidRDefault="004358FC" w:rsidP="004358FC">
      <w:pPr>
        <w:pStyle w:val="Listaszerbekezds"/>
        <w:numPr>
          <w:ilvl w:val="0"/>
          <w:numId w:val="9"/>
        </w:numPr>
        <w:spacing w:before="240"/>
        <w:jc w:val="both"/>
        <w:rPr>
          <w:rFonts w:asciiTheme="minorHAnsi" w:eastAsiaTheme="minorHAnsi" w:hAnsiTheme="minorHAnsi" w:cstheme="minorBidi"/>
          <w:b/>
        </w:rPr>
      </w:pPr>
      <w:r w:rsidRPr="00A73F21">
        <w:rPr>
          <w:rFonts w:asciiTheme="minorHAnsi" w:eastAsiaTheme="minorHAnsi" w:hAnsiTheme="minorHAnsi" w:cstheme="minorBidi"/>
          <w:b/>
        </w:rPr>
        <w:t>diszkalkuliás hallgatónál:</w:t>
      </w:r>
    </w:p>
    <w:tbl>
      <w:tblPr>
        <w:tblStyle w:val="Rcsostblzat"/>
        <w:tblW w:w="10941" w:type="dxa"/>
        <w:tblLook w:val="04A0" w:firstRow="1" w:lastRow="0" w:firstColumn="1" w:lastColumn="0" w:noHBand="0" w:noVBand="1"/>
      </w:tblPr>
      <w:tblGrid>
        <w:gridCol w:w="10515"/>
        <w:gridCol w:w="426"/>
      </w:tblGrid>
      <w:tr w:rsidR="004358FC" w14:paraId="1F5CC0CE" w14:textId="77777777" w:rsidTr="00C57653">
        <w:trPr>
          <w:trHeight w:val="699"/>
        </w:trPr>
        <w:tc>
          <w:tcPr>
            <w:tcW w:w="10515" w:type="dxa"/>
          </w:tcPr>
          <w:p w14:paraId="2A173946" w14:textId="77777777" w:rsidR="004358FC" w:rsidRDefault="004358FC" w:rsidP="00C57653">
            <w:pPr>
              <w:jc w:val="both"/>
            </w:pPr>
            <w:r>
              <w:t>A vizsgák alkalmával mindazon segédeszközök használata, amelyekkel a hallgató a tanulmányai során korábban is dolgozott (különösen táblázatok, számológép, konfiguráció, mechanikus és manipulatív eszközök)</w:t>
            </w:r>
            <w:r>
              <w:rPr>
                <w:rStyle w:val="Lbjegyzet-hivatkozs"/>
              </w:rPr>
              <w:footnoteReference w:id="8"/>
            </w:r>
          </w:p>
        </w:tc>
        <w:tc>
          <w:tcPr>
            <w:tcW w:w="426" w:type="dxa"/>
          </w:tcPr>
          <w:p w14:paraId="57FCFC02" w14:textId="77777777" w:rsidR="004358FC" w:rsidRDefault="004358FC" w:rsidP="00C57653">
            <w:pPr>
              <w:jc w:val="both"/>
            </w:pPr>
          </w:p>
        </w:tc>
      </w:tr>
      <w:tr w:rsidR="004358FC" w14:paraId="4AA486F5" w14:textId="77777777" w:rsidTr="00C57653">
        <w:trPr>
          <w:trHeight w:val="445"/>
        </w:trPr>
        <w:tc>
          <w:tcPr>
            <w:tcW w:w="10515" w:type="dxa"/>
          </w:tcPr>
          <w:p w14:paraId="445D5DC7" w14:textId="77777777" w:rsidR="004358FC" w:rsidRDefault="004358FC" w:rsidP="00C57653">
            <w:pPr>
              <w:jc w:val="both"/>
            </w:pPr>
            <w:r>
              <w:t>Mentesítés a számítási feladatok alól, de az elméleti ismeretek megkövetelhetők</w:t>
            </w:r>
            <w:r>
              <w:rPr>
                <w:rStyle w:val="Lbjegyzet-hivatkozs"/>
              </w:rPr>
              <w:footnoteReference w:id="9"/>
            </w:r>
          </w:p>
        </w:tc>
        <w:tc>
          <w:tcPr>
            <w:tcW w:w="426" w:type="dxa"/>
          </w:tcPr>
          <w:p w14:paraId="4CE364F2" w14:textId="77777777" w:rsidR="004358FC" w:rsidRDefault="004358FC" w:rsidP="00C57653">
            <w:pPr>
              <w:jc w:val="both"/>
            </w:pPr>
          </w:p>
        </w:tc>
      </w:tr>
      <w:tr w:rsidR="004358FC" w14:paraId="37B1E5C1" w14:textId="77777777" w:rsidTr="00C57653">
        <w:trPr>
          <w:trHeight w:val="423"/>
        </w:trPr>
        <w:tc>
          <w:tcPr>
            <w:tcW w:w="10515" w:type="dxa"/>
          </w:tcPr>
          <w:p w14:paraId="24DA4630" w14:textId="77777777" w:rsidR="004358FC" w:rsidRDefault="004358FC" w:rsidP="00C57653">
            <w:pPr>
              <w:jc w:val="both"/>
            </w:pPr>
            <w:r>
              <w:t xml:space="preserve">Segédeszköz-kölcsönzés: laptop / tablet / diktafon </w:t>
            </w:r>
          </w:p>
        </w:tc>
        <w:tc>
          <w:tcPr>
            <w:tcW w:w="426" w:type="dxa"/>
          </w:tcPr>
          <w:p w14:paraId="64C36977" w14:textId="77777777" w:rsidR="004358FC" w:rsidRDefault="004358FC" w:rsidP="00C57653">
            <w:pPr>
              <w:jc w:val="both"/>
            </w:pPr>
          </w:p>
        </w:tc>
      </w:tr>
      <w:tr w:rsidR="004358FC" w14:paraId="7C5C3A79" w14:textId="77777777" w:rsidTr="00C57653">
        <w:tc>
          <w:tcPr>
            <w:tcW w:w="10515" w:type="dxa"/>
          </w:tcPr>
          <w:p w14:paraId="3EC7E9B1" w14:textId="77777777" w:rsidR="004358FC" w:rsidRDefault="004358FC" w:rsidP="00C57653">
            <w:pPr>
              <w:jc w:val="both"/>
            </w:pPr>
            <w:r>
              <w:t xml:space="preserve">Speciális Hallgatói Ügyeket Támogató Iroda </w:t>
            </w:r>
            <w:r w:rsidRPr="00782C7D">
              <w:t>egyéni gyógypedagógiai szolgáltatásai</w:t>
            </w:r>
          </w:p>
          <w:p w14:paraId="165CF735" w14:textId="77777777" w:rsidR="004358FC" w:rsidRDefault="00062EA8" w:rsidP="00C57653">
            <w:pPr>
              <w:jc w:val="both"/>
            </w:pPr>
            <w:hyperlink r:id="rId9" w:history="1">
              <w:r w:rsidR="004358FC" w:rsidRPr="007F625D">
                <w:rPr>
                  <w:rStyle w:val="Hiperhivatkozs"/>
                  <w:color w:val="0070C0"/>
                </w:rPr>
                <w:t>https://www.elte.hu/eselyegyenloseg/tanulas</w:t>
              </w:r>
            </w:hyperlink>
            <w:r w:rsidR="004358FC" w:rsidRPr="007F625D">
              <w:rPr>
                <w:color w:val="0070C0"/>
              </w:rPr>
              <w:t xml:space="preserve"> </w:t>
            </w:r>
          </w:p>
        </w:tc>
        <w:tc>
          <w:tcPr>
            <w:tcW w:w="426" w:type="dxa"/>
          </w:tcPr>
          <w:p w14:paraId="07845FCF" w14:textId="77777777" w:rsidR="004358FC" w:rsidRDefault="004358FC" w:rsidP="00C57653">
            <w:pPr>
              <w:jc w:val="both"/>
            </w:pPr>
          </w:p>
        </w:tc>
      </w:tr>
    </w:tbl>
    <w:p w14:paraId="14FA829C" w14:textId="77777777" w:rsidR="004358FC" w:rsidRDefault="004358FC" w:rsidP="004358FC">
      <w:pPr>
        <w:jc w:val="center"/>
        <w:rPr>
          <w:b/>
          <w:sz w:val="24"/>
          <w:szCs w:val="24"/>
        </w:rPr>
      </w:pPr>
      <w:bookmarkStart w:id="0" w:name="_Hlk88555950"/>
    </w:p>
    <w:bookmarkEnd w:id="0"/>
    <w:p w14:paraId="665135F2" w14:textId="77777777" w:rsidR="005973A8" w:rsidRPr="00A66884" w:rsidRDefault="005973A8" w:rsidP="005973A8">
      <w:pPr>
        <w:spacing w:line="240" w:lineRule="auto"/>
        <w:jc w:val="center"/>
        <w:rPr>
          <w:rFonts w:ascii="Garamond" w:eastAsia="Calibri" w:hAnsi="Garamond" w:cs="Times New Roman"/>
          <w:b/>
          <w:bCs/>
          <w:sz w:val="28"/>
          <w:szCs w:val="24"/>
        </w:rPr>
      </w:pPr>
      <w:r w:rsidRPr="00A66884">
        <w:rPr>
          <w:rFonts w:ascii="Garamond" w:eastAsia="Calibri" w:hAnsi="Garamond" w:cs="Times New Roman"/>
          <w:b/>
          <w:bCs/>
          <w:sz w:val="28"/>
          <w:szCs w:val="24"/>
        </w:rPr>
        <w:lastRenderedPageBreak/>
        <w:t>Nyilatkozatok</w:t>
      </w:r>
    </w:p>
    <w:p w14:paraId="548F6ABE" w14:textId="77777777" w:rsidR="005973A8" w:rsidRPr="00A66884" w:rsidRDefault="005973A8" w:rsidP="005973A8">
      <w:pPr>
        <w:spacing w:after="0"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Alulírott:</w:t>
      </w:r>
      <w:r w:rsidRPr="00A66884">
        <w:rPr>
          <w:rFonts w:ascii="Garamond" w:eastAsia="Calibri" w:hAnsi="Garamond" w:cs="Times New Roman"/>
          <w:sz w:val="24"/>
          <w:szCs w:val="24"/>
        </w:rPr>
        <w:tab/>
        <w:t>...............................................................................</w:t>
      </w:r>
    </w:p>
    <w:p w14:paraId="1CFECF18" w14:textId="77777777" w:rsidR="005973A8" w:rsidRPr="00A66884" w:rsidRDefault="005973A8" w:rsidP="005973A8">
      <w:pPr>
        <w:spacing w:after="0" w:line="240" w:lineRule="auto"/>
        <w:jc w:val="both"/>
        <w:rPr>
          <w:rFonts w:ascii="Garamond" w:eastAsia="Calibri" w:hAnsi="Garamond" w:cs="Times New Roman"/>
          <w:sz w:val="24"/>
          <w:szCs w:val="24"/>
        </w:rPr>
      </w:pPr>
      <w:proofErr w:type="spellStart"/>
      <w:r w:rsidRPr="00A66884">
        <w:rPr>
          <w:rFonts w:ascii="Garamond" w:eastAsia="Calibri" w:hAnsi="Garamond" w:cs="Times New Roman"/>
          <w:sz w:val="24"/>
          <w:szCs w:val="24"/>
        </w:rPr>
        <w:t>Neptun</w:t>
      </w:r>
      <w:proofErr w:type="spellEnd"/>
      <w:r w:rsidRPr="00A66884">
        <w:rPr>
          <w:rFonts w:ascii="Garamond" w:eastAsia="Calibri" w:hAnsi="Garamond" w:cs="Times New Roman"/>
          <w:sz w:val="24"/>
          <w:szCs w:val="24"/>
        </w:rPr>
        <w:t xml:space="preserve"> kód:</w:t>
      </w:r>
      <w:r w:rsidRPr="00A66884">
        <w:rPr>
          <w:rFonts w:ascii="Garamond" w:eastAsia="Calibri" w:hAnsi="Garamond" w:cs="Times New Roman"/>
          <w:sz w:val="24"/>
          <w:szCs w:val="24"/>
        </w:rPr>
        <w:tab/>
        <w:t>...............................................................................</w:t>
      </w:r>
    </w:p>
    <w:p w14:paraId="765B9DE9" w14:textId="77777777" w:rsidR="005973A8" w:rsidRPr="00A66884" w:rsidRDefault="005973A8" w:rsidP="005973A8">
      <w:pPr>
        <w:spacing w:after="0"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lakcím:</w:t>
      </w:r>
      <w:r w:rsidRPr="00A66884">
        <w:rPr>
          <w:rFonts w:ascii="Garamond" w:eastAsia="Calibri" w:hAnsi="Garamond" w:cs="Times New Roman"/>
          <w:sz w:val="24"/>
          <w:szCs w:val="24"/>
        </w:rPr>
        <w:tab/>
      </w:r>
      <w:r w:rsidRPr="00A66884">
        <w:rPr>
          <w:rFonts w:ascii="Garamond" w:eastAsia="Calibri" w:hAnsi="Garamond" w:cs="Times New Roman"/>
          <w:sz w:val="24"/>
          <w:szCs w:val="24"/>
        </w:rPr>
        <w:tab/>
        <w:t xml:space="preserve">............................................................................... </w:t>
      </w:r>
      <w:bookmarkStart w:id="1" w:name="_GoBack"/>
      <w:bookmarkEnd w:id="1"/>
    </w:p>
    <w:p w14:paraId="33C5FDD0" w14:textId="77777777" w:rsidR="005973A8" w:rsidRPr="00A66884" w:rsidRDefault="005973A8" w:rsidP="005973A8">
      <w:pPr>
        <w:spacing w:after="480"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szül. hely, idő:</w:t>
      </w:r>
      <w:r w:rsidRPr="00A66884">
        <w:rPr>
          <w:rFonts w:ascii="Garamond" w:eastAsia="Calibri" w:hAnsi="Garamond" w:cs="Times New Roman"/>
          <w:sz w:val="24"/>
          <w:szCs w:val="24"/>
        </w:rPr>
        <w:tab/>
        <w:t xml:space="preserve">............................................................................... </w:t>
      </w:r>
    </w:p>
    <w:p w14:paraId="4DA6EC4E" w14:textId="77777777" w:rsidR="005973A8" w:rsidRPr="00A66884" w:rsidRDefault="005973A8" w:rsidP="005973A8">
      <w:pPr>
        <w:jc w:val="both"/>
        <w:rPr>
          <w:rFonts w:ascii="Garamond" w:eastAsia="Calibri" w:hAnsi="Garamond" w:cs="Times New Roman"/>
          <w:b/>
          <w:sz w:val="24"/>
          <w:szCs w:val="24"/>
        </w:rPr>
      </w:pPr>
      <w:r w:rsidRPr="00A66884">
        <w:rPr>
          <w:rFonts w:ascii="Garamond" w:eastAsia="Calibri" w:hAnsi="Garamond" w:cs="Times New Roman"/>
          <w:b/>
          <w:sz w:val="24"/>
          <w:szCs w:val="24"/>
        </w:rPr>
        <w:t xml:space="preserve">1. Nyilatkozat a kurzusfelvétel során adható többletpont iránti igényről </w:t>
      </w:r>
    </w:p>
    <w:p w14:paraId="17C43AB7" w14:textId="77777777" w:rsidR="005973A8" w:rsidRDefault="005973A8" w:rsidP="005973A8">
      <w:pPr>
        <w:autoSpaceDE w:val="0"/>
        <w:autoSpaceDN w:val="0"/>
        <w:adjustRightInd w:val="0"/>
        <w:spacing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 xml:space="preserve">Alulírott tudomásul veszem, hogy az ELTE Szervezeti és Működési Szabályzat II. kötetét képező Hallgatói Követelményrendszer 60. § (1) </w:t>
      </w:r>
      <w:proofErr w:type="spellStart"/>
      <w:r w:rsidRPr="00A66884">
        <w:rPr>
          <w:rFonts w:ascii="Garamond" w:eastAsia="Calibri" w:hAnsi="Garamond" w:cs="Times New Roman"/>
          <w:sz w:val="24"/>
          <w:szCs w:val="24"/>
        </w:rPr>
        <w:t>bek</w:t>
      </w:r>
      <w:proofErr w:type="spellEnd"/>
      <w:r w:rsidRPr="00A66884">
        <w:rPr>
          <w:rFonts w:ascii="Garamond" w:eastAsia="Calibri" w:hAnsi="Garamond" w:cs="Times New Roman"/>
          <w:sz w:val="24"/>
          <w:szCs w:val="24"/>
        </w:rPr>
        <w:t>. k) pontja és (1a) bekezdése alapján, amennyiben a karon az adott képzési helyszínen az Elektronikus Tanulmányi Rendszerben kurzusra jelentkező hallgatók között rangsorolás történik, a rangsorolás során a fogyatékos hallgatók 1000 pontot kapnak, ha a fogyatékosügyi koordinátornál tett regisztrációjuk során ezt kifejezetten kérik.</w:t>
      </w:r>
    </w:p>
    <w:p w14:paraId="5E0D31CE" w14:textId="77777777" w:rsidR="005973A8" w:rsidRPr="00A66884" w:rsidRDefault="005973A8" w:rsidP="005973A8">
      <w:pPr>
        <w:autoSpaceDE w:val="0"/>
        <w:autoSpaceDN w:val="0"/>
        <w:adjustRightInd w:val="0"/>
        <w:spacing w:after="0"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 xml:space="preserve">Fentiekre tekintettel nyilatkozom arról, hogy a kurzusra jelentkezéshez fűződő rangsorolási jogomat  </w:t>
      </w:r>
    </w:p>
    <w:p w14:paraId="3B3C95EF" w14:textId="77777777" w:rsidR="005973A8" w:rsidRPr="00A66884" w:rsidRDefault="005973A8" w:rsidP="005973A8">
      <w:pPr>
        <w:numPr>
          <w:ilvl w:val="0"/>
          <w:numId w:val="12"/>
        </w:numPr>
        <w:spacing w:after="0" w:line="240" w:lineRule="auto"/>
        <w:contextualSpacing/>
        <w:jc w:val="both"/>
        <w:rPr>
          <w:rFonts w:ascii="Garamond" w:eastAsia="Calibri" w:hAnsi="Garamond" w:cs="Times New Roman"/>
          <w:sz w:val="24"/>
          <w:szCs w:val="24"/>
        </w:rPr>
      </w:pPr>
      <w:r w:rsidRPr="00A66884">
        <w:rPr>
          <w:rFonts w:ascii="Garamond" w:eastAsia="Calibri" w:hAnsi="Garamond" w:cs="Times New Roman"/>
          <w:b/>
          <w:sz w:val="24"/>
          <w:szCs w:val="24"/>
        </w:rPr>
        <w:t xml:space="preserve">érvényesíteni </w:t>
      </w:r>
      <w:r w:rsidRPr="00A66884">
        <w:rPr>
          <w:rFonts w:ascii="Garamond" w:eastAsia="Calibri" w:hAnsi="Garamond" w:cs="Times New Roman"/>
          <w:bCs/>
          <w:sz w:val="24"/>
          <w:szCs w:val="24"/>
        </w:rPr>
        <w:t>kívánom</w:t>
      </w:r>
    </w:p>
    <w:p w14:paraId="1E50D375" w14:textId="77777777" w:rsidR="005973A8" w:rsidRPr="00A66884" w:rsidRDefault="005973A8" w:rsidP="005973A8">
      <w:pPr>
        <w:numPr>
          <w:ilvl w:val="0"/>
          <w:numId w:val="12"/>
        </w:numPr>
        <w:spacing w:after="0" w:line="240" w:lineRule="auto"/>
        <w:ind w:left="714" w:hanging="357"/>
        <w:contextualSpacing/>
        <w:jc w:val="both"/>
        <w:rPr>
          <w:rFonts w:ascii="Garamond" w:eastAsia="Calibri" w:hAnsi="Garamond" w:cs="Times New Roman"/>
          <w:sz w:val="24"/>
          <w:szCs w:val="24"/>
        </w:rPr>
      </w:pPr>
      <w:r w:rsidRPr="00A66884">
        <w:rPr>
          <w:rFonts w:ascii="Garamond" w:eastAsia="Calibri" w:hAnsi="Garamond" w:cs="Times New Roman"/>
          <w:b/>
          <w:sz w:val="24"/>
          <w:szCs w:val="24"/>
        </w:rPr>
        <w:t xml:space="preserve">nem </w:t>
      </w:r>
      <w:r w:rsidRPr="00A66884">
        <w:rPr>
          <w:rFonts w:ascii="Garamond" w:eastAsia="Calibri" w:hAnsi="Garamond" w:cs="Times New Roman"/>
          <w:bCs/>
          <w:sz w:val="24"/>
          <w:szCs w:val="24"/>
        </w:rPr>
        <w:t>kívánom</w:t>
      </w:r>
      <w:r w:rsidRPr="00A66884">
        <w:rPr>
          <w:rFonts w:ascii="Garamond" w:eastAsia="Calibri" w:hAnsi="Garamond" w:cs="Times New Roman"/>
          <w:b/>
          <w:sz w:val="24"/>
          <w:szCs w:val="24"/>
        </w:rPr>
        <w:t xml:space="preserve"> érvényesíteni </w:t>
      </w:r>
    </w:p>
    <w:p w14:paraId="1DCCFCFB" w14:textId="77777777" w:rsidR="005973A8" w:rsidRPr="00A66884" w:rsidRDefault="005973A8" w:rsidP="005973A8">
      <w:pPr>
        <w:spacing w:before="480"/>
        <w:jc w:val="both"/>
        <w:rPr>
          <w:rFonts w:ascii="Garamond" w:eastAsia="Calibri" w:hAnsi="Garamond" w:cs="Times New Roman"/>
          <w:b/>
          <w:sz w:val="24"/>
          <w:szCs w:val="24"/>
        </w:rPr>
      </w:pPr>
      <w:r w:rsidRPr="00A66884">
        <w:rPr>
          <w:rFonts w:ascii="Garamond" w:eastAsia="Calibri" w:hAnsi="Garamond" w:cs="Times New Roman"/>
          <w:b/>
          <w:sz w:val="24"/>
          <w:szCs w:val="24"/>
        </w:rPr>
        <w:t xml:space="preserve">2. Nyilatkozat a különleges személyes adatok kezeléséről  </w:t>
      </w:r>
    </w:p>
    <w:p w14:paraId="5C11FBFA" w14:textId="77777777" w:rsidR="005973A8" w:rsidRPr="00A66884" w:rsidRDefault="005973A8" w:rsidP="005973A8">
      <w:pPr>
        <w:spacing w:line="240" w:lineRule="auto"/>
        <w:jc w:val="both"/>
        <w:rPr>
          <w:rFonts w:ascii="Garamond" w:eastAsia="Calibri" w:hAnsi="Garamond" w:cs="Times New Roman"/>
          <w:b/>
          <w:sz w:val="24"/>
          <w:szCs w:val="24"/>
        </w:rPr>
      </w:pPr>
      <w:r w:rsidRPr="00A66884">
        <w:rPr>
          <w:rFonts w:ascii="Garamond" w:eastAsia="Calibri" w:hAnsi="Garamond" w:cs="Times New Roman"/>
          <w:sz w:val="24"/>
          <w:szCs w:val="24"/>
        </w:rPr>
        <w:t xml:space="preserve">Alulírott mint adatkezeléssel érintett fogyatékossággal élő hallgató (a továbbiakban </w:t>
      </w:r>
      <w:r w:rsidRPr="00A66884">
        <w:rPr>
          <w:rFonts w:ascii="Garamond" w:eastAsia="Calibri" w:hAnsi="Garamond" w:cs="Times New Roman"/>
          <w:b/>
          <w:sz w:val="24"/>
          <w:szCs w:val="24"/>
        </w:rPr>
        <w:t>érintett</w:t>
      </w:r>
      <w:r w:rsidRPr="00A66884">
        <w:rPr>
          <w:rFonts w:ascii="Garamond" w:eastAsia="Calibri" w:hAnsi="Garamond" w:cs="Times New Roman"/>
          <w:sz w:val="24"/>
          <w:szCs w:val="24"/>
        </w:rPr>
        <w:t xml:space="preserve">) </w:t>
      </w:r>
      <w:r w:rsidRPr="00A66884">
        <w:rPr>
          <w:rFonts w:ascii="Garamond" w:eastAsia="Calibri" w:hAnsi="Garamond" w:cs="Times New Roman"/>
          <w:b/>
          <w:sz w:val="24"/>
          <w:szCs w:val="24"/>
        </w:rPr>
        <w:t xml:space="preserve">kijelentem, hogy a </w:t>
      </w:r>
      <w:hyperlink r:id="rId10" w:history="1">
        <w:r w:rsidRPr="00A66884">
          <w:rPr>
            <w:rFonts w:ascii="Garamond" w:eastAsia="Calibri" w:hAnsi="Garamond" w:cs="Times New Roman"/>
            <w:b/>
            <w:color w:val="006600"/>
            <w:sz w:val="24"/>
            <w:szCs w:val="24"/>
            <w:u w:val="single"/>
          </w:rPr>
          <w:t>https://adatvedelem.elte.hu/tajekoztatok-sablonok</w:t>
        </w:r>
      </w:hyperlink>
      <w:r w:rsidRPr="00A66884">
        <w:rPr>
          <w:rFonts w:ascii="Garamond" w:eastAsia="Calibri" w:hAnsi="Garamond" w:cs="Times New Roman"/>
          <w:b/>
          <w:sz w:val="24"/>
          <w:szCs w:val="24"/>
        </w:rPr>
        <w:t xml:space="preserve"> oldalon elérhető „Adatvédelmi tájékoztató hallgatói jogviszonyhoz” elnevezésű dokumentum tartalmát a részemre átadott regisztrációs lapon szereplő személyes adatok kezelésére vonatkozóan megismertem, tudomásul vettem és jelen nyilatkozatomat a tájékoztató ismeretében teszem meg. </w:t>
      </w:r>
    </w:p>
    <w:p w14:paraId="38FC9B02" w14:textId="77777777" w:rsidR="005973A8" w:rsidRPr="00A66884" w:rsidRDefault="005973A8" w:rsidP="005973A8">
      <w:pPr>
        <w:spacing w:after="0" w:line="240" w:lineRule="auto"/>
        <w:jc w:val="both"/>
        <w:rPr>
          <w:rFonts w:ascii="Garamond" w:eastAsia="Calibri" w:hAnsi="Garamond" w:cs="Times New Roman"/>
          <w:b/>
          <w:sz w:val="24"/>
          <w:szCs w:val="24"/>
        </w:rPr>
      </w:pPr>
      <w:r w:rsidRPr="00A66884">
        <w:rPr>
          <w:rFonts w:ascii="Garamond" w:eastAsia="Calibri" w:hAnsi="Garamond" w:cs="Times New Roman"/>
          <w:b/>
          <w:sz w:val="24"/>
          <w:szCs w:val="24"/>
        </w:rPr>
        <w:t xml:space="preserve">Erre tekintettel jelen nyilatkozat aláírásával kifejezetten </w:t>
      </w:r>
    </w:p>
    <w:p w14:paraId="4DD378DD" w14:textId="77777777" w:rsidR="005973A8" w:rsidRPr="00A66884" w:rsidRDefault="005973A8" w:rsidP="005973A8">
      <w:pPr>
        <w:numPr>
          <w:ilvl w:val="0"/>
          <w:numId w:val="12"/>
        </w:numPr>
        <w:spacing w:after="0" w:line="240" w:lineRule="auto"/>
        <w:contextualSpacing/>
        <w:jc w:val="both"/>
        <w:rPr>
          <w:rFonts w:ascii="Garamond" w:eastAsia="Calibri" w:hAnsi="Garamond" w:cs="Times New Roman"/>
          <w:sz w:val="24"/>
          <w:szCs w:val="24"/>
        </w:rPr>
      </w:pPr>
      <w:r w:rsidRPr="00A66884">
        <w:rPr>
          <w:rFonts w:ascii="Garamond" w:eastAsia="Calibri" w:hAnsi="Garamond" w:cs="Times New Roman"/>
          <w:b/>
          <w:sz w:val="24"/>
          <w:szCs w:val="24"/>
        </w:rPr>
        <w:t xml:space="preserve">hozzájárulok ahhoz, </w:t>
      </w:r>
      <w:r w:rsidRPr="00A66884">
        <w:rPr>
          <w:rFonts w:ascii="Garamond" w:eastAsia="Calibri" w:hAnsi="Garamond" w:cs="Times New Roman"/>
          <w:sz w:val="24"/>
          <w:szCs w:val="24"/>
        </w:rPr>
        <w:t>hogy az adatkezelő a speciális szükségletemre vonatkozó, a jelen regisztráció során általam bejelentett információkat, továbbá az annak alátámasztásául általam csatolt dokumentumokat és az ezekben foglalt személyes és különleges személyes adataimat speciális igényeim felmérése, és speciális igényeim biztosítása céljából kezelje</w:t>
      </w:r>
    </w:p>
    <w:p w14:paraId="44D087A8" w14:textId="77777777" w:rsidR="005973A8" w:rsidRPr="00A66884" w:rsidRDefault="005973A8" w:rsidP="005973A8">
      <w:pPr>
        <w:numPr>
          <w:ilvl w:val="0"/>
          <w:numId w:val="12"/>
        </w:numPr>
        <w:spacing w:after="0" w:line="240" w:lineRule="auto"/>
        <w:ind w:left="714" w:hanging="357"/>
        <w:contextualSpacing/>
        <w:jc w:val="both"/>
        <w:rPr>
          <w:rFonts w:ascii="Garamond" w:eastAsia="Calibri" w:hAnsi="Garamond" w:cs="Times New Roman"/>
          <w:sz w:val="24"/>
          <w:szCs w:val="24"/>
        </w:rPr>
      </w:pPr>
      <w:r w:rsidRPr="00A66884">
        <w:rPr>
          <w:rFonts w:ascii="Garamond" w:eastAsia="Calibri" w:hAnsi="Garamond" w:cs="Times New Roman"/>
          <w:b/>
          <w:sz w:val="24"/>
          <w:szCs w:val="24"/>
        </w:rPr>
        <w:t xml:space="preserve">nem járulok hozzá ahhoz, </w:t>
      </w:r>
      <w:r w:rsidRPr="00A66884">
        <w:rPr>
          <w:rFonts w:ascii="Garamond" w:eastAsia="Calibri" w:hAnsi="Garamond" w:cs="Times New Roman"/>
          <w:sz w:val="24"/>
          <w:szCs w:val="24"/>
        </w:rPr>
        <w:t>hogy az adatkezelő a speciális szükségletemre vonatkozó, a jelen regisztráció során általam bejelentett információkat, továbbá az annak alátámasztásául általam csatolt dokumentumokat és az ezekben foglalt személyes és különleges személyes adataimat speciális igényeim felmérése, és speciális igényeim biztosítása céljából kezelje.</w:t>
      </w:r>
    </w:p>
    <w:p w14:paraId="0EF11BEA" w14:textId="77777777" w:rsidR="005973A8" w:rsidRPr="00A66884" w:rsidRDefault="005973A8" w:rsidP="005973A8">
      <w:pPr>
        <w:spacing w:before="840" w:after="0" w:line="360" w:lineRule="auto"/>
        <w:jc w:val="center"/>
        <w:rPr>
          <w:rFonts w:ascii="Garamond" w:eastAsia="Calibri" w:hAnsi="Garamond" w:cs="Times New Roman"/>
          <w:sz w:val="24"/>
          <w:szCs w:val="24"/>
        </w:rPr>
      </w:pPr>
      <w:r w:rsidRPr="00A66884">
        <w:rPr>
          <w:rFonts w:ascii="Garamond" w:eastAsia="Calibri" w:hAnsi="Garamond" w:cs="Times New Roman"/>
          <w:sz w:val="24"/>
          <w:szCs w:val="24"/>
        </w:rPr>
        <w:t>……………………………                                                            ……………………………</w:t>
      </w:r>
    </w:p>
    <w:p w14:paraId="52C8985A" w14:textId="1F235AAB" w:rsidR="005973A8" w:rsidRDefault="005973A8" w:rsidP="005973A8">
      <w:pPr>
        <w:spacing w:after="0" w:line="240" w:lineRule="auto"/>
        <w:jc w:val="center"/>
        <w:rPr>
          <w:rFonts w:ascii="Garamond" w:eastAsia="Calibri" w:hAnsi="Garamond" w:cs="Times New Roman"/>
          <w:sz w:val="24"/>
          <w:szCs w:val="24"/>
        </w:rPr>
      </w:pPr>
      <w:r w:rsidRPr="00A66884">
        <w:rPr>
          <w:rFonts w:ascii="Garamond" w:eastAsia="Calibri" w:hAnsi="Garamond" w:cs="Times New Roman"/>
          <w:sz w:val="24"/>
          <w:szCs w:val="24"/>
        </w:rPr>
        <w:t>dátum</w:t>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t>aláírás</w:t>
      </w:r>
    </w:p>
    <w:p w14:paraId="7C7C1FCA" w14:textId="77777777" w:rsidR="004358FC" w:rsidRDefault="004358FC" w:rsidP="004358FC">
      <w:pPr>
        <w:spacing w:before="240"/>
        <w:jc w:val="both"/>
        <w:rPr>
          <w:b/>
          <w:sz w:val="24"/>
        </w:rPr>
      </w:pPr>
    </w:p>
    <w:p w14:paraId="40DC7F98" w14:textId="2A5A2811" w:rsidR="004358FC" w:rsidRDefault="004358FC" w:rsidP="004358FC">
      <w:pPr>
        <w:spacing w:before="240"/>
        <w:jc w:val="both"/>
        <w:rPr>
          <w:b/>
          <w:sz w:val="24"/>
        </w:rPr>
      </w:pPr>
    </w:p>
    <w:p w14:paraId="5FBFD4C3" w14:textId="3489FCDD" w:rsidR="005973A8" w:rsidRDefault="005973A8" w:rsidP="004358FC">
      <w:pPr>
        <w:spacing w:before="240"/>
        <w:jc w:val="both"/>
        <w:rPr>
          <w:b/>
          <w:sz w:val="24"/>
        </w:rPr>
      </w:pPr>
    </w:p>
    <w:p w14:paraId="2CB66D59" w14:textId="6D8DB89C" w:rsidR="005973A8" w:rsidRDefault="005973A8" w:rsidP="004358FC">
      <w:pPr>
        <w:spacing w:before="240"/>
        <w:jc w:val="both"/>
        <w:rPr>
          <w:b/>
          <w:sz w:val="24"/>
        </w:rPr>
      </w:pPr>
    </w:p>
    <w:p w14:paraId="70F02B3C" w14:textId="77777777" w:rsidR="005973A8" w:rsidRDefault="005973A8" w:rsidP="004358FC">
      <w:pPr>
        <w:spacing w:before="240"/>
        <w:jc w:val="both"/>
        <w:rPr>
          <w:b/>
          <w:sz w:val="24"/>
        </w:rPr>
      </w:pPr>
    </w:p>
    <w:p w14:paraId="6617C3C2" w14:textId="77777777" w:rsidR="004358FC" w:rsidRDefault="004358FC" w:rsidP="004358FC">
      <w:pPr>
        <w:spacing w:before="240"/>
        <w:jc w:val="both"/>
        <w:rPr>
          <w:b/>
          <w:sz w:val="24"/>
        </w:rPr>
      </w:pPr>
      <w:r w:rsidRPr="0075703C">
        <w:rPr>
          <w:b/>
          <w:sz w:val="24"/>
        </w:rPr>
        <w:t>III./2. Speciális Szolgáltatások (Speciális Hallgatói Ügyeket Támogató Iroda – SHÜTI)</w:t>
      </w:r>
      <w:r>
        <w:rPr>
          <w:b/>
          <w:sz w:val="24"/>
        </w:rPr>
        <w:t xml:space="preserve"> </w:t>
      </w:r>
    </w:p>
    <w:p w14:paraId="38BDC5A4" w14:textId="77777777" w:rsidR="004358FC" w:rsidRPr="00B3668A" w:rsidRDefault="004358FC" w:rsidP="004358FC">
      <w:pPr>
        <w:jc w:val="both"/>
        <w:rPr>
          <w:b/>
          <w:i/>
          <w:szCs w:val="20"/>
        </w:rPr>
      </w:pPr>
      <w:r w:rsidRPr="00B3668A">
        <w:rPr>
          <w:b/>
          <w:i/>
          <w:szCs w:val="20"/>
        </w:rPr>
        <w:lastRenderedPageBreak/>
        <w:t xml:space="preserve">A Speciális Hallgatói Ügyeket Támogató Iroda szolgáltatásai iránti igényt a SHÜTI kollégáinál </w:t>
      </w:r>
      <w:r>
        <w:rPr>
          <w:b/>
          <w:i/>
          <w:szCs w:val="20"/>
        </w:rPr>
        <w:t>kell közvetlenül</w:t>
      </w:r>
      <w:r w:rsidRPr="00B3668A">
        <w:rPr>
          <w:b/>
          <w:i/>
          <w:szCs w:val="20"/>
        </w:rPr>
        <w:t xml:space="preserve"> jelezni a megadott elérhetőségeken.</w:t>
      </w:r>
    </w:p>
    <w:p w14:paraId="6353E816" w14:textId="77777777" w:rsidR="004358FC" w:rsidRPr="007F625D" w:rsidRDefault="00062EA8" w:rsidP="004358FC">
      <w:pPr>
        <w:shd w:val="clear" w:color="auto" w:fill="FFFFFF"/>
        <w:spacing w:before="300" w:after="300" w:line="240" w:lineRule="auto"/>
        <w:rPr>
          <w:color w:val="0070C0"/>
        </w:rPr>
      </w:pPr>
      <w:hyperlink r:id="rId11" w:history="1">
        <w:r w:rsidR="004358FC" w:rsidRPr="007F625D">
          <w:rPr>
            <w:rStyle w:val="Hiperhivatkozs"/>
            <w:color w:val="0070C0"/>
          </w:rPr>
          <w:t>https://www.elte.hu/eselyegyenloseg</w:t>
        </w:r>
      </w:hyperlink>
    </w:p>
    <w:p w14:paraId="24FB8716" w14:textId="77777777" w:rsidR="004358FC" w:rsidRPr="007F625D" w:rsidRDefault="00062EA8" w:rsidP="004358FC">
      <w:pPr>
        <w:shd w:val="clear" w:color="auto" w:fill="FFFFFF"/>
        <w:spacing w:before="300" w:after="300" w:line="240" w:lineRule="auto"/>
        <w:rPr>
          <w:color w:val="0070C0"/>
        </w:rPr>
      </w:pPr>
      <w:hyperlink r:id="rId12" w:history="1">
        <w:r w:rsidR="004358FC" w:rsidRPr="007F625D">
          <w:rPr>
            <w:rStyle w:val="Hiperhivatkozs"/>
            <w:color w:val="0070C0"/>
          </w:rPr>
          <w:t>https://www.elte.hu/eselyegyenloseg/tanulas</w:t>
        </w:r>
      </w:hyperlink>
    </w:p>
    <w:p w14:paraId="607A0A77" w14:textId="21BC9DE8" w:rsidR="004358FC" w:rsidRPr="00583A44" w:rsidRDefault="004358FC" w:rsidP="004358FC">
      <w:pPr>
        <w:shd w:val="clear" w:color="auto" w:fill="FFFFFF"/>
        <w:spacing w:before="300" w:after="300" w:line="240" w:lineRule="auto"/>
      </w:pPr>
      <w:r w:rsidRPr="00583A44">
        <w:rPr>
          <w:b/>
          <w:bCs/>
        </w:rPr>
        <w:t>Szepesi Magdolna</w:t>
      </w:r>
      <w:r w:rsidRPr="00583A44">
        <w:t>, gyógypedagógus, logopédia-hallássérültek pedagógiája szakirány</w:t>
      </w:r>
      <w:r w:rsidR="005973A8">
        <w:t>, művészetterapeuta</w:t>
      </w:r>
    </w:p>
    <w:p w14:paraId="44F06F44" w14:textId="77777777" w:rsidR="004358FC" w:rsidRPr="00583A44" w:rsidRDefault="004358FC" w:rsidP="004358FC">
      <w:pPr>
        <w:shd w:val="clear" w:color="auto" w:fill="FFFFFF"/>
        <w:spacing w:before="300" w:after="300" w:line="240" w:lineRule="auto"/>
      </w:pPr>
      <w:r w:rsidRPr="00583A44">
        <w:t>Cím: ELTE BTK, 1088 Budapest, Múzeum krt. 4/A, alagsor 125.</w:t>
      </w:r>
      <w:r w:rsidRPr="00583A44">
        <w:br/>
        <w:t>Mobil: (36) 30-315-7624</w:t>
      </w:r>
      <w:r w:rsidRPr="00583A44">
        <w:br/>
        <w:t>E-mail: </w:t>
      </w:r>
      <w:hyperlink r:id="rId13" w:history="1">
        <w:r w:rsidRPr="007F625D">
          <w:rPr>
            <w:rStyle w:val="Hiperhivatkozs"/>
            <w:b/>
            <w:bCs/>
            <w:color w:val="0070C0"/>
          </w:rPr>
          <w:t>szepesi.magdolna@kancellaria.elte.hu</w:t>
        </w:r>
      </w:hyperlink>
    </w:p>
    <w:p w14:paraId="56E95D17" w14:textId="77777777" w:rsidR="004358FC" w:rsidRPr="00E3162C" w:rsidRDefault="004358FC" w:rsidP="004358FC">
      <w:pPr>
        <w:spacing w:before="720" w:after="480"/>
        <w:jc w:val="both"/>
        <w:rPr>
          <w:b/>
          <w:sz w:val="24"/>
        </w:rPr>
      </w:pPr>
      <w:r w:rsidRPr="00E3162C">
        <w:rPr>
          <w:b/>
          <w:sz w:val="24"/>
        </w:rPr>
        <w:t xml:space="preserve">Szolgáltatások </w:t>
      </w:r>
      <w:r w:rsidRPr="00E3162C">
        <w:rPr>
          <w:b/>
          <w:i/>
          <w:sz w:val="24"/>
        </w:rPr>
        <w:t>diszlexiás, diszgráfiás, diszkalkuliás</w:t>
      </w:r>
      <w:r w:rsidRPr="00E3162C">
        <w:rPr>
          <w:b/>
          <w:sz w:val="24"/>
        </w:rPr>
        <w:t xml:space="preserve"> hallgatók részére</w:t>
      </w:r>
    </w:p>
    <w:p w14:paraId="492D22AB" w14:textId="0DAD34F9" w:rsidR="004358FC" w:rsidRDefault="004358FC" w:rsidP="007F625D">
      <w:pPr>
        <w:rPr>
          <w:sz w:val="24"/>
        </w:rPr>
      </w:pPr>
      <w:r w:rsidRPr="00E3162C">
        <w:rPr>
          <w:b/>
          <w:sz w:val="24"/>
        </w:rPr>
        <w:t xml:space="preserve">Egyénre szabott tanulásmódszertani tanácsadás </w:t>
      </w:r>
      <w:r w:rsidRPr="00E3162C">
        <w:rPr>
          <w:b/>
          <w:sz w:val="24"/>
        </w:rPr>
        <w:br/>
      </w:r>
      <w:r>
        <w:rPr>
          <w:sz w:val="24"/>
        </w:rPr>
        <w:t xml:space="preserve">Az egyéni konzultáció során </w:t>
      </w:r>
      <w:r w:rsidRPr="0053156B">
        <w:rPr>
          <w:sz w:val="24"/>
        </w:rPr>
        <w:t xml:space="preserve">feltérképezzük a tanulás azon területeit, amelyek nehézséget okoznak </w:t>
      </w:r>
      <w:r>
        <w:rPr>
          <w:sz w:val="24"/>
        </w:rPr>
        <w:t xml:space="preserve">a hallgató számára, és </w:t>
      </w:r>
      <w:r w:rsidRPr="0053156B">
        <w:rPr>
          <w:sz w:val="24"/>
        </w:rPr>
        <w:t>megvitatjuk, hogy az eddig alkalmazott tanulási technikák alkalmazása hogyan lehet hatékonyabb</w:t>
      </w:r>
      <w:r>
        <w:rPr>
          <w:sz w:val="24"/>
        </w:rPr>
        <w:t xml:space="preserve">. Emellett átgondoljuk, </w:t>
      </w:r>
      <w:r w:rsidRPr="0053156B">
        <w:rPr>
          <w:sz w:val="24"/>
        </w:rPr>
        <w:t xml:space="preserve">milyen új módszerek, tanulási stratégiák </w:t>
      </w:r>
      <w:r>
        <w:rPr>
          <w:sz w:val="24"/>
        </w:rPr>
        <w:t xml:space="preserve">lehetnek a hallgató segítségére a tanulás során. </w:t>
      </w:r>
    </w:p>
    <w:p w14:paraId="6397C619" w14:textId="77777777" w:rsidR="004358FC" w:rsidRDefault="004358FC" w:rsidP="004358FC">
      <w:pPr>
        <w:shd w:val="clear" w:color="auto" w:fill="FFFFFF"/>
        <w:spacing w:after="0" w:line="240" w:lineRule="auto"/>
        <w:rPr>
          <w:sz w:val="24"/>
        </w:rPr>
      </w:pPr>
    </w:p>
    <w:p w14:paraId="50978DF7" w14:textId="77777777" w:rsidR="004358FC" w:rsidRPr="00E3162C" w:rsidRDefault="004358FC" w:rsidP="004358FC">
      <w:pPr>
        <w:shd w:val="clear" w:color="auto" w:fill="FFFFFF"/>
        <w:spacing w:after="0" w:line="240" w:lineRule="auto"/>
        <w:rPr>
          <w:b/>
          <w:sz w:val="24"/>
        </w:rPr>
      </w:pPr>
      <w:r w:rsidRPr="00E3162C">
        <w:rPr>
          <w:b/>
          <w:sz w:val="24"/>
        </w:rPr>
        <w:t>Relaxációs technikák tanítása</w:t>
      </w:r>
    </w:p>
    <w:p w14:paraId="612E113F" w14:textId="77777777" w:rsidR="004358FC" w:rsidRPr="00E3162C" w:rsidRDefault="004358FC" w:rsidP="004358FC">
      <w:pPr>
        <w:shd w:val="clear" w:color="auto" w:fill="FFFFFF"/>
        <w:spacing w:after="0" w:line="240" w:lineRule="auto"/>
        <w:rPr>
          <w:sz w:val="24"/>
        </w:rPr>
      </w:pPr>
      <w:r w:rsidRPr="00E3162C">
        <w:rPr>
          <w:sz w:val="24"/>
        </w:rPr>
        <w:t xml:space="preserve">A foglalkozáson a hallgató elsajátíthatja a helyes légzéstechnikát, és olyan izomlazító gyakorlatokat, melyek segíthetnek a </w:t>
      </w:r>
      <w:proofErr w:type="spellStart"/>
      <w:r w:rsidRPr="00E3162C">
        <w:rPr>
          <w:sz w:val="24"/>
        </w:rPr>
        <w:t>relaxált</w:t>
      </w:r>
      <w:proofErr w:type="spellEnd"/>
      <w:r w:rsidRPr="00E3162C">
        <w:rPr>
          <w:sz w:val="24"/>
        </w:rPr>
        <w:t>, pihentető állapot elérésében. </w:t>
      </w:r>
    </w:p>
    <w:p w14:paraId="3F5899E5" w14:textId="77777777" w:rsidR="004358FC" w:rsidRDefault="004358FC" w:rsidP="004358FC">
      <w:pPr>
        <w:shd w:val="clear" w:color="auto" w:fill="FFFFFF"/>
        <w:spacing w:after="0" w:line="240" w:lineRule="auto"/>
        <w:rPr>
          <w:sz w:val="24"/>
        </w:rPr>
      </w:pPr>
    </w:p>
    <w:p w14:paraId="4514B145" w14:textId="77777777" w:rsidR="004358FC" w:rsidRDefault="004358FC" w:rsidP="004358FC">
      <w:pPr>
        <w:shd w:val="clear" w:color="auto" w:fill="FFFFFF"/>
        <w:spacing w:after="0" w:line="240" w:lineRule="auto"/>
        <w:rPr>
          <w:sz w:val="24"/>
        </w:rPr>
      </w:pPr>
    </w:p>
    <w:p w14:paraId="45E17E0E" w14:textId="77777777" w:rsidR="004358FC" w:rsidRPr="00E3162C" w:rsidRDefault="004358FC" w:rsidP="004358FC">
      <w:pPr>
        <w:shd w:val="clear" w:color="auto" w:fill="FFFFFF"/>
        <w:spacing w:after="0" w:line="240" w:lineRule="auto"/>
        <w:rPr>
          <w:b/>
          <w:sz w:val="24"/>
        </w:rPr>
      </w:pPr>
      <w:r w:rsidRPr="00E3162C">
        <w:rPr>
          <w:b/>
          <w:sz w:val="24"/>
        </w:rPr>
        <w:t>Nyelvi korrektúra</w:t>
      </w:r>
    </w:p>
    <w:p w14:paraId="76ADBEB1" w14:textId="77777777" w:rsidR="004358FC" w:rsidRDefault="004358FC" w:rsidP="004358FC">
      <w:pPr>
        <w:shd w:val="clear" w:color="auto" w:fill="FFFFFF"/>
        <w:spacing w:after="0" w:line="240" w:lineRule="auto"/>
        <w:rPr>
          <w:sz w:val="24"/>
        </w:rPr>
      </w:pPr>
      <w:r w:rsidRPr="00E3162C">
        <w:rPr>
          <w:sz w:val="24"/>
        </w:rPr>
        <w:t>A szakdolgozatok, beadandó dolgozatok elkészítését követően igény esetén, kapacitástól függően nyelvi korrektúrát végzünk az elkészült dokumentumon.</w:t>
      </w:r>
      <w:r>
        <w:rPr>
          <w:sz w:val="24"/>
        </w:rPr>
        <w:t xml:space="preserve"> </w:t>
      </w:r>
    </w:p>
    <w:p w14:paraId="21753EF8" w14:textId="77777777" w:rsidR="00E8137A" w:rsidRDefault="00E8137A" w:rsidP="002903CE">
      <w:pPr>
        <w:spacing w:before="120" w:after="280" w:line="259" w:lineRule="auto"/>
        <w:jc w:val="both"/>
        <w:rPr>
          <w:b/>
          <w:bCs/>
        </w:rPr>
      </w:pPr>
    </w:p>
    <w:p w14:paraId="29FD6D76" w14:textId="24A0E293" w:rsidR="00E8137A" w:rsidRDefault="00E8137A" w:rsidP="00E8137A">
      <w:pPr>
        <w:spacing w:before="120" w:after="280" w:line="259" w:lineRule="auto"/>
        <w:jc w:val="both"/>
        <w:rPr>
          <w:rFonts w:cstheme="minorHAnsi"/>
          <w:sz w:val="24"/>
          <w:szCs w:val="24"/>
        </w:rPr>
      </w:pPr>
      <w:r>
        <w:rPr>
          <w:rFonts w:cstheme="minorHAnsi"/>
          <w:b/>
          <w:bCs/>
          <w:sz w:val="24"/>
          <w:szCs w:val="24"/>
        </w:rPr>
        <w:t>Eszközkölcsönzés</w:t>
      </w:r>
      <w:r>
        <w:rPr>
          <w:rFonts w:cstheme="minorHAnsi"/>
          <w:b/>
          <w:bCs/>
          <w:sz w:val="24"/>
          <w:szCs w:val="24"/>
        </w:rPr>
        <w:br/>
      </w:r>
      <w:r w:rsidRPr="006E25BD">
        <w:rPr>
          <w:rFonts w:cstheme="minorHAnsi"/>
          <w:bCs/>
          <w:sz w:val="24"/>
          <w:szCs w:val="24"/>
        </w:rPr>
        <w:t>A SHÜTI eszközparkjából lehetőség van az alábbi eszközök kölcsönzésére</w:t>
      </w:r>
      <w:r>
        <w:rPr>
          <w:rFonts w:cstheme="minorHAnsi"/>
          <w:bCs/>
          <w:sz w:val="24"/>
          <w:szCs w:val="24"/>
        </w:rPr>
        <w:t xml:space="preserve">: </w:t>
      </w:r>
      <w:r w:rsidRPr="00E24243">
        <w:rPr>
          <w:rFonts w:cstheme="minorHAnsi"/>
          <w:sz w:val="24"/>
          <w:szCs w:val="24"/>
        </w:rPr>
        <w:t xml:space="preserve">laptop / tablet / diktafon / </w:t>
      </w:r>
      <w:r>
        <w:rPr>
          <w:rFonts w:cstheme="minorHAnsi"/>
          <w:sz w:val="24"/>
          <w:szCs w:val="24"/>
        </w:rPr>
        <w:t xml:space="preserve">Kölcsönzésre kölcsönzési szerződés kitöltésével, a leltári készlet erejéig van lehetőség. </w:t>
      </w:r>
    </w:p>
    <w:p w14:paraId="4B20D4CE" w14:textId="77777777" w:rsidR="00314F27" w:rsidRDefault="00314F27" w:rsidP="00E8137A">
      <w:pPr>
        <w:spacing w:before="120" w:after="280" w:line="259" w:lineRule="auto"/>
        <w:jc w:val="both"/>
        <w:rPr>
          <w:rFonts w:cstheme="minorHAnsi"/>
          <w:sz w:val="24"/>
          <w:szCs w:val="24"/>
        </w:rPr>
      </w:pPr>
    </w:p>
    <w:p w14:paraId="5D61D628" w14:textId="19426EC9" w:rsidR="00E8137A" w:rsidRPr="005973A8" w:rsidRDefault="00314F27" w:rsidP="002903CE">
      <w:pPr>
        <w:spacing w:before="120" w:after="280" w:line="259" w:lineRule="auto"/>
        <w:jc w:val="both"/>
        <w:rPr>
          <w:rFonts w:cstheme="minorHAnsi"/>
          <w:b/>
          <w:bCs/>
          <w:sz w:val="24"/>
          <w:szCs w:val="24"/>
        </w:rPr>
      </w:pPr>
      <w:r w:rsidRPr="005973A8">
        <w:rPr>
          <w:rFonts w:cstheme="minorHAnsi"/>
          <w:b/>
          <w:bCs/>
          <w:sz w:val="24"/>
          <w:szCs w:val="24"/>
        </w:rPr>
        <w:t>Zárt levelezőlista a speciális igényű hallgatóknak</w:t>
      </w:r>
    </w:p>
    <w:p w14:paraId="039BA1C0" w14:textId="75880AE9" w:rsidR="001264C2" w:rsidRDefault="00314F27" w:rsidP="005973A8">
      <w:pPr>
        <w:spacing w:before="120" w:after="280" w:line="259" w:lineRule="auto"/>
        <w:jc w:val="both"/>
        <w:rPr>
          <w:sz w:val="18"/>
          <w:szCs w:val="18"/>
        </w:rPr>
      </w:pPr>
      <w:r w:rsidRPr="00314F27">
        <w:rPr>
          <w:bCs/>
          <w:sz w:val="24"/>
          <w:szCs w:val="24"/>
        </w:rPr>
        <w:t>Zárt és moderált levelezőlistánkon keresztül igyekszünk hozzád eljuttatni az téged érintő egyetemi felhívásokat, pályázati lehetőségeket, eseményeket, fontos információkat. A regisztrációval automatikusan felkerülsz a levelezőlistára, de van lehetőséged leiratkozni.</w:t>
      </w:r>
    </w:p>
    <w:sectPr w:rsidR="001264C2" w:rsidSect="00BC2456">
      <w:pgSz w:w="11906" w:h="16838"/>
      <w:pgMar w:top="709" w:right="567" w:bottom="567" w:left="567"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648E1" w14:textId="77777777" w:rsidR="00975BB5" w:rsidRDefault="00975BB5" w:rsidP="00B43EB2">
      <w:pPr>
        <w:spacing w:after="0" w:line="240" w:lineRule="auto"/>
      </w:pPr>
      <w:r>
        <w:separator/>
      </w:r>
    </w:p>
  </w:endnote>
  <w:endnote w:type="continuationSeparator" w:id="0">
    <w:p w14:paraId="4994DA5F" w14:textId="77777777" w:rsidR="00975BB5" w:rsidRDefault="00975BB5" w:rsidP="00B4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48C57" w14:textId="77777777" w:rsidR="00975BB5" w:rsidRDefault="00975BB5" w:rsidP="00B43EB2">
      <w:pPr>
        <w:spacing w:after="0" w:line="240" w:lineRule="auto"/>
      </w:pPr>
      <w:r>
        <w:separator/>
      </w:r>
    </w:p>
  </w:footnote>
  <w:footnote w:type="continuationSeparator" w:id="0">
    <w:p w14:paraId="0EAE8B70" w14:textId="77777777" w:rsidR="00975BB5" w:rsidRDefault="00975BB5" w:rsidP="00B43EB2">
      <w:pPr>
        <w:spacing w:after="0" w:line="240" w:lineRule="auto"/>
      </w:pPr>
      <w:r>
        <w:continuationSeparator/>
      </w:r>
    </w:p>
  </w:footnote>
  <w:footnote w:id="1">
    <w:p w14:paraId="6558FFB7" w14:textId="77777777" w:rsidR="004358FC" w:rsidRPr="0068696A" w:rsidRDefault="004358FC" w:rsidP="005B1FEB">
      <w:pPr>
        <w:pStyle w:val="Lbjegyzetszveg"/>
        <w:jc w:val="both"/>
        <w:rPr>
          <w:sz w:val="16"/>
          <w:szCs w:val="16"/>
        </w:rPr>
      </w:pPr>
      <w:r w:rsidRPr="0068696A">
        <w:rPr>
          <w:rStyle w:val="Lbjegyzet-hivatkozs"/>
          <w:sz w:val="16"/>
          <w:szCs w:val="16"/>
        </w:rPr>
        <w:footnoteRef/>
      </w:r>
      <w:r w:rsidRPr="0068696A">
        <w:rPr>
          <w:sz w:val="16"/>
          <w:szCs w:val="16"/>
        </w:rPr>
        <w:t xml:space="preserve"> ELTE SZMSZ II. kötet HKR 210. (3) „A speciális szükségletű hallgató a tréning jellegű foglalkozások kivételével a kurzusokon hangfelvételt készíthet, azt azonban csak saját tanulmányai során és azokkal összefüggésben használhatja fel. Az oktató és a kurzus résztvevői részére a hangfelvétel készítését előre be kell jelenteni.”</w:t>
      </w:r>
    </w:p>
  </w:footnote>
  <w:footnote w:id="2">
    <w:p w14:paraId="2256EB7C" w14:textId="77777777" w:rsidR="004358FC" w:rsidRPr="0068696A" w:rsidRDefault="004358FC" w:rsidP="005B1FEB">
      <w:pPr>
        <w:pStyle w:val="Lbjegyzetszveg"/>
        <w:jc w:val="both"/>
        <w:rPr>
          <w:sz w:val="16"/>
          <w:szCs w:val="16"/>
        </w:rPr>
      </w:pPr>
      <w:r w:rsidRPr="0068696A">
        <w:rPr>
          <w:rStyle w:val="Lbjegyzet-hivatkozs"/>
          <w:sz w:val="16"/>
          <w:szCs w:val="16"/>
        </w:rPr>
        <w:footnoteRef/>
      </w:r>
      <w:r w:rsidRPr="0068696A">
        <w:rPr>
          <w:sz w:val="16"/>
          <w:szCs w:val="16"/>
        </w:rPr>
        <w:t xml:space="preserve"> ELTE SZMSZ II. kötet HKR 210. (2) „A nyomtatott, papíralapú információszerzésben, a tananyag elolvasásában akadályozott hallgató kérése alapján a kari koordinátor kezdeményezésére az egyetem gondoskodik a megfelelő formátumú digitális tananyag biztosításáról.”</w:t>
      </w:r>
    </w:p>
  </w:footnote>
  <w:footnote w:id="3">
    <w:p w14:paraId="7B94C0B2" w14:textId="77777777" w:rsidR="004358FC" w:rsidRPr="0068696A" w:rsidRDefault="004358FC" w:rsidP="005B1FEB">
      <w:pPr>
        <w:pStyle w:val="Lbjegyzetszveg"/>
        <w:jc w:val="both"/>
        <w:rPr>
          <w:sz w:val="16"/>
          <w:szCs w:val="16"/>
        </w:rPr>
      </w:pPr>
      <w:r w:rsidRPr="0068696A">
        <w:rPr>
          <w:rStyle w:val="Lbjegyzet-hivatkozs"/>
          <w:sz w:val="16"/>
          <w:szCs w:val="16"/>
        </w:rPr>
        <w:footnoteRef/>
      </w:r>
      <w:r w:rsidRPr="0068696A">
        <w:rPr>
          <w:sz w:val="16"/>
          <w:szCs w:val="16"/>
        </w:rPr>
        <w:t xml:space="preserve"> (Vhr1. 62.§ 8) „A hosszabb felkészülési időt a nem fogyatékossággal élő hallgatókra megállapított időtartamhoz képest legalább 30%-kal hosszabb időtartamban kell megállapítani.”</w:t>
      </w:r>
    </w:p>
  </w:footnote>
  <w:footnote w:id="4">
    <w:p w14:paraId="14B165E7" w14:textId="77777777" w:rsidR="004358FC" w:rsidRPr="0068696A" w:rsidRDefault="004358FC" w:rsidP="005B1FEB">
      <w:pPr>
        <w:pStyle w:val="Lbjegyzetszveg"/>
        <w:jc w:val="both"/>
        <w:rPr>
          <w:sz w:val="16"/>
          <w:szCs w:val="16"/>
        </w:rPr>
      </w:pPr>
      <w:r w:rsidRPr="0068696A">
        <w:rPr>
          <w:rStyle w:val="Lbjegyzet-hivatkozs"/>
          <w:sz w:val="16"/>
          <w:szCs w:val="16"/>
        </w:rPr>
        <w:footnoteRef/>
      </w:r>
      <w:r w:rsidRPr="0068696A">
        <w:rPr>
          <w:sz w:val="16"/>
          <w:szCs w:val="16"/>
        </w:rPr>
        <w:t xml:space="preserve"> (</w:t>
      </w:r>
      <w:proofErr w:type="spellStart"/>
      <w:r w:rsidRPr="0068696A">
        <w:rPr>
          <w:sz w:val="16"/>
          <w:szCs w:val="16"/>
        </w:rPr>
        <w:t>Nftv</w:t>
      </w:r>
      <w:proofErr w:type="spellEnd"/>
      <w:r w:rsidRPr="0068696A">
        <w:rPr>
          <w:sz w:val="16"/>
          <w:szCs w:val="16"/>
        </w:rPr>
        <w:t>. 47. § 1) Egy személy - felsőoktatási szakképzésben, alapképzésben és mesterképzésben összesen - tizenkét féléven át folytathat a felsőoktatásban tanulmányokat magyar állami (rész)ösztöndíjas képzésben (a továbbiakban: támogatási idő). A támogatási idő legfeljebb tizennégy félév, ha a hallgató osztatlan képzésben vesz részt és a képzési követelmények szerint a képzési idő meghaladja a tíz félévet.</w:t>
      </w:r>
    </w:p>
    <w:p w14:paraId="749EFE7F" w14:textId="77777777" w:rsidR="004358FC" w:rsidRPr="0068696A" w:rsidRDefault="004358FC" w:rsidP="005B1FEB">
      <w:pPr>
        <w:pStyle w:val="Lbjegyzetszveg"/>
        <w:jc w:val="both"/>
        <w:rPr>
          <w:sz w:val="16"/>
          <w:szCs w:val="16"/>
        </w:rPr>
      </w:pPr>
      <w:r w:rsidRPr="0068696A">
        <w:rPr>
          <w:sz w:val="16"/>
          <w:szCs w:val="16"/>
        </w:rPr>
        <w:t>(4) A fogyatékossággal élő hallgató (1) bekezdésben meghatározott támogatási idejét a felsőoktatási intézmény legfeljebb négy félévvel megnövelheti. E kedvezmény több fokozat (oklevél) megszerzéséhez is igénybe vehető, azzal hogy az e bekezdésre tekintettel igénybe vett támogatási idő összesen a négy félévet nem haladhatja meg</w:t>
      </w:r>
    </w:p>
  </w:footnote>
  <w:footnote w:id="5">
    <w:p w14:paraId="12963517" w14:textId="77777777" w:rsidR="004358FC" w:rsidRPr="0068696A" w:rsidRDefault="004358FC" w:rsidP="005B1FEB">
      <w:pPr>
        <w:pStyle w:val="Lbjegyzetszveg"/>
        <w:jc w:val="both"/>
        <w:rPr>
          <w:sz w:val="16"/>
          <w:szCs w:val="16"/>
        </w:rPr>
      </w:pPr>
      <w:r w:rsidRPr="0068696A">
        <w:rPr>
          <w:rStyle w:val="Lbjegyzet-hivatkozs"/>
          <w:sz w:val="16"/>
          <w:szCs w:val="16"/>
        </w:rPr>
        <w:footnoteRef/>
      </w:r>
      <w:r w:rsidRPr="0068696A">
        <w:rPr>
          <w:sz w:val="16"/>
          <w:szCs w:val="16"/>
        </w:rPr>
        <w:t xml:space="preserve"> ELTE SZMSZ II. kötet HKR</w:t>
      </w:r>
      <w:r w:rsidRPr="0068696A">
        <w:rPr>
          <w:rFonts w:asciiTheme="minorHAnsi" w:eastAsiaTheme="minorHAnsi" w:hAnsiTheme="minorHAnsi" w:cstheme="minorBidi"/>
          <w:sz w:val="16"/>
          <w:szCs w:val="16"/>
          <w:lang w:eastAsia="en-US"/>
        </w:rPr>
        <w:t xml:space="preserve"> </w:t>
      </w:r>
      <w:r w:rsidRPr="0068696A">
        <w:rPr>
          <w:sz w:val="16"/>
          <w:szCs w:val="16"/>
        </w:rPr>
        <w:t>41/B. § (6) Mentesül az átsorolás alól c) a regisztrált, speciális szükségletű hallgató.</w:t>
      </w:r>
    </w:p>
  </w:footnote>
  <w:footnote w:id="6">
    <w:p w14:paraId="277F7D03" w14:textId="77777777" w:rsidR="004358FC" w:rsidRPr="0068696A" w:rsidRDefault="004358FC" w:rsidP="005B1FEB">
      <w:pPr>
        <w:pStyle w:val="Lbjegyzetszveg"/>
        <w:jc w:val="both"/>
        <w:rPr>
          <w:sz w:val="16"/>
          <w:szCs w:val="16"/>
        </w:rPr>
      </w:pPr>
      <w:r w:rsidRPr="0068696A">
        <w:rPr>
          <w:rStyle w:val="Lbjegyzet-hivatkozs"/>
          <w:sz w:val="16"/>
          <w:szCs w:val="16"/>
        </w:rPr>
        <w:footnoteRef/>
      </w:r>
      <w:r w:rsidRPr="0068696A">
        <w:rPr>
          <w:sz w:val="16"/>
          <w:szCs w:val="16"/>
        </w:rPr>
        <w:t xml:space="preserve"> Vhr1. 62.§ (6) </w:t>
      </w:r>
      <w:proofErr w:type="spellStart"/>
      <w:r w:rsidRPr="0068696A">
        <w:rPr>
          <w:sz w:val="16"/>
          <w:szCs w:val="16"/>
        </w:rPr>
        <w:t>aa</w:t>
      </w:r>
      <w:proofErr w:type="spellEnd"/>
      <w:r w:rsidRPr="0068696A">
        <w:rPr>
          <w:sz w:val="16"/>
          <w:szCs w:val="16"/>
        </w:rPr>
        <w:t>) „az írásbeli vizsga helyett szóbeli vizsga vagy szóbeli helyett írásbeli vizsga”</w:t>
      </w:r>
    </w:p>
  </w:footnote>
  <w:footnote w:id="7">
    <w:p w14:paraId="60EBA4C5" w14:textId="77777777" w:rsidR="004358FC" w:rsidRDefault="004358FC" w:rsidP="005B1FEB">
      <w:pPr>
        <w:pStyle w:val="Lbjegyzetszveg"/>
        <w:jc w:val="both"/>
      </w:pPr>
      <w:r w:rsidRPr="0068696A">
        <w:rPr>
          <w:rStyle w:val="Lbjegyzet-hivatkozs"/>
          <w:sz w:val="16"/>
          <w:szCs w:val="16"/>
        </w:rPr>
        <w:footnoteRef/>
      </w:r>
      <w:r w:rsidRPr="0068696A">
        <w:rPr>
          <w:sz w:val="16"/>
          <w:szCs w:val="16"/>
        </w:rPr>
        <w:t xml:space="preserve"> Vhr1. 62§ (6) </w:t>
      </w:r>
      <w:proofErr w:type="spellStart"/>
      <w:r w:rsidRPr="0068696A">
        <w:rPr>
          <w:sz w:val="16"/>
          <w:szCs w:val="16"/>
        </w:rPr>
        <w:t>ac</w:t>
      </w:r>
      <w:proofErr w:type="spellEnd"/>
      <w:r w:rsidRPr="0068696A">
        <w:rPr>
          <w:sz w:val="16"/>
          <w:szCs w:val="16"/>
        </w:rPr>
        <w:t>) a vizsgán a szükséges segédeszközök (különösen számítógép, írógép, helyesírási szótár, értelmező szótár, szinonima szótár) biztosítása</w:t>
      </w:r>
    </w:p>
  </w:footnote>
  <w:footnote w:id="8">
    <w:p w14:paraId="4B1CFAC0" w14:textId="77777777" w:rsidR="004358FC" w:rsidRPr="0068696A" w:rsidRDefault="004358FC" w:rsidP="005B1FEB">
      <w:pPr>
        <w:pStyle w:val="Lbjegyzetszveg"/>
        <w:jc w:val="both"/>
        <w:rPr>
          <w:sz w:val="16"/>
          <w:szCs w:val="16"/>
        </w:rPr>
      </w:pPr>
      <w:r>
        <w:rPr>
          <w:rStyle w:val="Lbjegyzet-hivatkozs"/>
        </w:rPr>
        <w:footnoteRef/>
      </w:r>
      <w:r>
        <w:t xml:space="preserve"> </w:t>
      </w:r>
      <w:r w:rsidRPr="0068696A">
        <w:rPr>
          <w:sz w:val="16"/>
          <w:szCs w:val="16"/>
        </w:rPr>
        <w:t>Vhr1. 62.§ (6)</w:t>
      </w:r>
      <w:r>
        <w:rPr>
          <w:sz w:val="16"/>
          <w:szCs w:val="16"/>
        </w:rPr>
        <w:t xml:space="preserve"> </w:t>
      </w:r>
      <w:proofErr w:type="spellStart"/>
      <w:r w:rsidRPr="0068696A">
        <w:rPr>
          <w:sz w:val="16"/>
          <w:szCs w:val="16"/>
        </w:rPr>
        <w:t>bb</w:t>
      </w:r>
      <w:proofErr w:type="spellEnd"/>
      <w:r w:rsidRPr="0068696A">
        <w:rPr>
          <w:sz w:val="16"/>
          <w:szCs w:val="16"/>
        </w:rPr>
        <w:t>) a vizsgák alkalmával mindazon segédeszközök használata, amelyekkel a hallgató a tanulmányai során korábban is dolgozott (különösen táblázatok, számológép, konfiguráció, mechanikus és manipulatív eszközök)</w:t>
      </w:r>
    </w:p>
  </w:footnote>
  <w:footnote w:id="9">
    <w:p w14:paraId="31CC61C8" w14:textId="77777777" w:rsidR="004358FC" w:rsidRPr="0068696A" w:rsidRDefault="004358FC" w:rsidP="005B1FEB">
      <w:pPr>
        <w:pStyle w:val="Lbjegyzetszveg"/>
        <w:jc w:val="both"/>
        <w:rPr>
          <w:sz w:val="16"/>
          <w:szCs w:val="16"/>
        </w:rPr>
      </w:pPr>
      <w:r>
        <w:rPr>
          <w:rStyle w:val="Lbjegyzet-hivatkozs"/>
        </w:rPr>
        <w:footnoteRef/>
      </w:r>
      <w:r>
        <w:t xml:space="preserve"> </w:t>
      </w:r>
      <w:r w:rsidRPr="0068696A">
        <w:rPr>
          <w:sz w:val="16"/>
          <w:szCs w:val="16"/>
        </w:rPr>
        <w:t>Vhr1. 62.§ (6)</w:t>
      </w:r>
      <w:r>
        <w:rPr>
          <w:sz w:val="16"/>
          <w:szCs w:val="16"/>
        </w:rPr>
        <w:t xml:space="preserve"> </w:t>
      </w:r>
      <w:proofErr w:type="spellStart"/>
      <w:r w:rsidRPr="0068696A">
        <w:rPr>
          <w:sz w:val="16"/>
          <w:szCs w:val="16"/>
        </w:rPr>
        <w:t>ba</w:t>
      </w:r>
      <w:proofErr w:type="spellEnd"/>
      <w:r w:rsidRPr="0068696A">
        <w:rPr>
          <w:sz w:val="16"/>
          <w:szCs w:val="16"/>
        </w:rPr>
        <w:t>) mentesítés a számítási feladatok alól, de az elméleti ismeretek megkövetelhetők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42E0C"/>
    <w:multiLevelType w:val="multilevel"/>
    <w:tmpl w:val="57246666"/>
    <w:lvl w:ilvl="0">
      <w:start w:val="3"/>
      <w:numFmt w:val="decimal"/>
      <w:lvlText w:val="%1."/>
      <w:lvlJc w:val="left"/>
      <w:pPr>
        <w:ind w:left="360" w:hanging="360"/>
      </w:pPr>
      <w:rPr>
        <w:strike w:val="0"/>
        <w:dstrike w:val="0"/>
        <w:color w:val="auto"/>
        <w:u w:val="none"/>
        <w:effect w:val="none"/>
      </w:rPr>
    </w:lvl>
    <w:lvl w:ilvl="1">
      <w:start w:val="1"/>
      <w:numFmt w:val="decimal"/>
      <w:lvlText w:val="%1.%2."/>
      <w:lvlJc w:val="left"/>
      <w:pPr>
        <w:ind w:left="360" w:hanging="360"/>
      </w:pPr>
      <w:rPr>
        <w:strike w:val="0"/>
        <w:dstrike w:val="0"/>
        <w:color w:val="auto"/>
        <w:u w:val="none"/>
        <w:effect w:val="none"/>
      </w:rPr>
    </w:lvl>
    <w:lvl w:ilvl="2">
      <w:start w:val="1"/>
      <w:numFmt w:val="decimal"/>
      <w:lvlText w:val="%1.%2.%3."/>
      <w:lvlJc w:val="left"/>
      <w:pPr>
        <w:ind w:left="720" w:hanging="720"/>
      </w:pPr>
      <w:rPr>
        <w:strike w:val="0"/>
        <w:dstrike w:val="0"/>
        <w:color w:val="auto"/>
        <w:u w:val="none"/>
        <w:effect w:val="none"/>
      </w:rPr>
    </w:lvl>
    <w:lvl w:ilvl="3">
      <w:start w:val="1"/>
      <w:numFmt w:val="decimal"/>
      <w:lvlText w:val="%1.%2.%3.%4."/>
      <w:lvlJc w:val="left"/>
      <w:pPr>
        <w:ind w:left="720" w:hanging="720"/>
      </w:pPr>
      <w:rPr>
        <w:strike w:val="0"/>
        <w:dstrike w:val="0"/>
        <w:color w:val="auto"/>
        <w:u w:val="none"/>
        <w:effect w:val="none"/>
      </w:rPr>
    </w:lvl>
    <w:lvl w:ilvl="4">
      <w:start w:val="1"/>
      <w:numFmt w:val="decimal"/>
      <w:lvlText w:val="%1.%2.%3.%4.%5."/>
      <w:lvlJc w:val="left"/>
      <w:pPr>
        <w:ind w:left="1080" w:hanging="1080"/>
      </w:pPr>
      <w:rPr>
        <w:strike w:val="0"/>
        <w:dstrike w:val="0"/>
        <w:color w:val="auto"/>
        <w:u w:val="none"/>
        <w:effect w:val="none"/>
      </w:rPr>
    </w:lvl>
    <w:lvl w:ilvl="5">
      <w:start w:val="1"/>
      <w:numFmt w:val="decimal"/>
      <w:lvlText w:val="%1.%2.%3.%4.%5.%6."/>
      <w:lvlJc w:val="left"/>
      <w:pPr>
        <w:ind w:left="1080" w:hanging="1080"/>
      </w:pPr>
      <w:rPr>
        <w:strike w:val="0"/>
        <w:dstrike w:val="0"/>
        <w:color w:val="auto"/>
        <w:u w:val="none"/>
        <w:effect w:val="none"/>
      </w:rPr>
    </w:lvl>
    <w:lvl w:ilvl="6">
      <w:start w:val="1"/>
      <w:numFmt w:val="decimal"/>
      <w:lvlText w:val="%1.%2.%3.%4.%5.%6.%7."/>
      <w:lvlJc w:val="left"/>
      <w:pPr>
        <w:ind w:left="1440" w:hanging="1440"/>
      </w:pPr>
      <w:rPr>
        <w:strike w:val="0"/>
        <w:dstrike w:val="0"/>
        <w:color w:val="auto"/>
        <w:u w:val="none"/>
        <w:effect w:val="none"/>
      </w:rPr>
    </w:lvl>
    <w:lvl w:ilvl="7">
      <w:start w:val="1"/>
      <w:numFmt w:val="decimal"/>
      <w:lvlText w:val="%1.%2.%3.%4.%5.%6.%7.%8."/>
      <w:lvlJc w:val="left"/>
      <w:pPr>
        <w:ind w:left="1440" w:hanging="1440"/>
      </w:pPr>
      <w:rPr>
        <w:strike w:val="0"/>
        <w:dstrike w:val="0"/>
        <w:color w:val="auto"/>
        <w:u w:val="none"/>
        <w:effect w:val="none"/>
      </w:rPr>
    </w:lvl>
    <w:lvl w:ilvl="8">
      <w:start w:val="1"/>
      <w:numFmt w:val="decimal"/>
      <w:lvlText w:val="%1.%2.%3.%4.%5.%6.%7.%8.%9."/>
      <w:lvlJc w:val="left"/>
      <w:pPr>
        <w:ind w:left="1800" w:hanging="1800"/>
      </w:pPr>
      <w:rPr>
        <w:strike w:val="0"/>
        <w:dstrike w:val="0"/>
        <w:color w:val="auto"/>
        <w:u w:val="none"/>
        <w:effect w:val="none"/>
      </w:rPr>
    </w:lvl>
  </w:abstractNum>
  <w:abstractNum w:abstractNumId="1" w15:restartNumberingAfterBreak="0">
    <w:nsid w:val="2F725621"/>
    <w:multiLevelType w:val="hybridMultilevel"/>
    <w:tmpl w:val="5F28D7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72A75C3"/>
    <w:multiLevelType w:val="hybridMultilevel"/>
    <w:tmpl w:val="94ECBE6C"/>
    <w:lvl w:ilvl="0" w:tplc="040E000F">
      <w:start w:val="1"/>
      <w:numFmt w:val="decimal"/>
      <w:lvlText w:val="%1."/>
      <w:lvlJc w:val="left"/>
      <w:pPr>
        <w:ind w:left="1287" w:hanging="360"/>
      </w:pPr>
      <w:rPr>
        <w:b/>
        <w:sz w:val="22"/>
        <w:szCs w:val="22"/>
      </w:rPr>
    </w:lvl>
    <w:lvl w:ilvl="1" w:tplc="040E000F">
      <w:start w:val="1"/>
      <w:numFmt w:val="decimal"/>
      <w:lvlText w:val="%2."/>
      <w:lvlJc w:val="left"/>
      <w:pPr>
        <w:ind w:left="2007" w:hanging="360"/>
      </w:pPr>
    </w:lvl>
    <w:lvl w:ilvl="2" w:tplc="E51E724A">
      <w:numFmt w:val="bullet"/>
      <w:lvlText w:val="-"/>
      <w:lvlJc w:val="left"/>
      <w:pPr>
        <w:ind w:left="2907" w:hanging="360"/>
      </w:pPr>
      <w:rPr>
        <w:rFonts w:ascii="Calibri" w:eastAsia="Calibri" w:hAnsi="Calibri" w:cs="Times New Roman" w:hint="default"/>
      </w:r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3" w15:restartNumberingAfterBreak="0">
    <w:nsid w:val="402C0814"/>
    <w:multiLevelType w:val="hybridMultilevel"/>
    <w:tmpl w:val="4808E064"/>
    <w:lvl w:ilvl="0" w:tplc="FF0895E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9A3485F"/>
    <w:multiLevelType w:val="hybridMultilevel"/>
    <w:tmpl w:val="50007312"/>
    <w:lvl w:ilvl="0" w:tplc="0FFC94C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07B376A"/>
    <w:multiLevelType w:val="hybridMultilevel"/>
    <w:tmpl w:val="C38C4ED2"/>
    <w:lvl w:ilvl="0" w:tplc="3814A9E8">
      <w:start w:val="1053"/>
      <w:numFmt w:val="bullet"/>
      <w:lvlText w:val="-"/>
      <w:lvlJc w:val="left"/>
      <w:pPr>
        <w:ind w:left="564" w:hanging="360"/>
      </w:pPr>
      <w:rPr>
        <w:rFonts w:ascii="Times New Roman" w:eastAsia="Calibri" w:hAnsi="Times New Roman" w:cs="Times New Roman" w:hint="default"/>
      </w:rPr>
    </w:lvl>
    <w:lvl w:ilvl="1" w:tplc="04090003">
      <w:start w:val="1"/>
      <w:numFmt w:val="bullet"/>
      <w:lvlText w:val="o"/>
      <w:lvlJc w:val="left"/>
      <w:pPr>
        <w:ind w:left="1284" w:hanging="360"/>
      </w:pPr>
      <w:rPr>
        <w:rFonts w:ascii="Courier New" w:hAnsi="Courier New" w:cs="Courier New" w:hint="default"/>
      </w:rPr>
    </w:lvl>
    <w:lvl w:ilvl="2" w:tplc="04090005">
      <w:start w:val="1"/>
      <w:numFmt w:val="bullet"/>
      <w:lvlText w:val=""/>
      <w:lvlJc w:val="left"/>
      <w:pPr>
        <w:ind w:left="2004" w:hanging="360"/>
      </w:pPr>
      <w:rPr>
        <w:rFonts w:ascii="Wingdings" w:hAnsi="Wingdings" w:hint="default"/>
      </w:rPr>
    </w:lvl>
    <w:lvl w:ilvl="3" w:tplc="04090001">
      <w:start w:val="1"/>
      <w:numFmt w:val="bullet"/>
      <w:lvlText w:val=""/>
      <w:lvlJc w:val="left"/>
      <w:pPr>
        <w:ind w:left="2724" w:hanging="360"/>
      </w:pPr>
      <w:rPr>
        <w:rFonts w:ascii="Symbol" w:hAnsi="Symbol" w:hint="default"/>
      </w:rPr>
    </w:lvl>
    <w:lvl w:ilvl="4" w:tplc="04090003">
      <w:start w:val="1"/>
      <w:numFmt w:val="bullet"/>
      <w:lvlText w:val="o"/>
      <w:lvlJc w:val="left"/>
      <w:pPr>
        <w:ind w:left="3444" w:hanging="360"/>
      </w:pPr>
      <w:rPr>
        <w:rFonts w:ascii="Courier New" w:hAnsi="Courier New" w:cs="Courier New" w:hint="default"/>
      </w:rPr>
    </w:lvl>
    <w:lvl w:ilvl="5" w:tplc="04090005">
      <w:start w:val="1"/>
      <w:numFmt w:val="bullet"/>
      <w:lvlText w:val=""/>
      <w:lvlJc w:val="left"/>
      <w:pPr>
        <w:ind w:left="4164" w:hanging="360"/>
      </w:pPr>
      <w:rPr>
        <w:rFonts w:ascii="Wingdings" w:hAnsi="Wingdings" w:hint="default"/>
      </w:rPr>
    </w:lvl>
    <w:lvl w:ilvl="6" w:tplc="04090001">
      <w:start w:val="1"/>
      <w:numFmt w:val="bullet"/>
      <w:lvlText w:val=""/>
      <w:lvlJc w:val="left"/>
      <w:pPr>
        <w:ind w:left="4884" w:hanging="360"/>
      </w:pPr>
      <w:rPr>
        <w:rFonts w:ascii="Symbol" w:hAnsi="Symbol" w:hint="default"/>
      </w:rPr>
    </w:lvl>
    <w:lvl w:ilvl="7" w:tplc="04090003">
      <w:start w:val="1"/>
      <w:numFmt w:val="bullet"/>
      <w:lvlText w:val="o"/>
      <w:lvlJc w:val="left"/>
      <w:pPr>
        <w:ind w:left="5604" w:hanging="360"/>
      </w:pPr>
      <w:rPr>
        <w:rFonts w:ascii="Courier New" w:hAnsi="Courier New" w:cs="Courier New" w:hint="default"/>
      </w:rPr>
    </w:lvl>
    <w:lvl w:ilvl="8" w:tplc="04090005">
      <w:start w:val="1"/>
      <w:numFmt w:val="bullet"/>
      <w:lvlText w:val=""/>
      <w:lvlJc w:val="left"/>
      <w:pPr>
        <w:ind w:left="6324" w:hanging="360"/>
      </w:pPr>
      <w:rPr>
        <w:rFonts w:ascii="Wingdings" w:hAnsi="Wingdings" w:hint="default"/>
      </w:rPr>
    </w:lvl>
  </w:abstractNum>
  <w:abstractNum w:abstractNumId="6" w15:restartNumberingAfterBreak="0">
    <w:nsid w:val="5934692E"/>
    <w:multiLevelType w:val="hybridMultilevel"/>
    <w:tmpl w:val="EBF810EA"/>
    <w:lvl w:ilvl="0" w:tplc="292A737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6003E9"/>
    <w:multiLevelType w:val="multilevel"/>
    <w:tmpl w:val="606003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BE153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CE6E0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3182673"/>
    <w:multiLevelType w:val="hybridMultilevel"/>
    <w:tmpl w:val="99CC9D66"/>
    <w:lvl w:ilvl="0" w:tplc="4DE26D32">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8442522"/>
    <w:multiLevelType w:val="hybridMultilevel"/>
    <w:tmpl w:val="23469CB0"/>
    <w:lvl w:ilvl="0" w:tplc="55948BA8">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11"/>
  </w:num>
  <w:num w:numId="9">
    <w:abstractNumId w:val="1"/>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activeWritingStyle w:appName="MSWord" w:lang="en-US" w:vendorID="64" w:dllVersion="6" w:nlCheck="1" w:checkStyle="0"/>
  <w:activeWritingStyle w:appName="MSWord" w:lang="de-DE" w:vendorID="64" w:dllVersion="6" w:nlCheck="1" w:checkStyle="0"/>
  <w:activeWritingStyle w:appName="MSWord" w:lang="hu-HU" w:vendorID="64" w:dllVersion="4096" w:nlCheck="1" w:checkStyle="0"/>
  <w:activeWritingStyle w:appName="MSWord" w:lang="en-US" w:vendorID="64" w:dllVersion="4096" w:nlCheck="1" w:checkStyle="0"/>
  <w:activeWritingStyle w:appName="MSWord" w:lang="hu-HU"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59"/>
    <w:rsid w:val="000122CF"/>
    <w:rsid w:val="00040CA6"/>
    <w:rsid w:val="000467EE"/>
    <w:rsid w:val="00062EA8"/>
    <w:rsid w:val="000A7490"/>
    <w:rsid w:val="000A77EC"/>
    <w:rsid w:val="000C09D1"/>
    <w:rsid w:val="000F3100"/>
    <w:rsid w:val="000F39EC"/>
    <w:rsid w:val="001025A3"/>
    <w:rsid w:val="001104D1"/>
    <w:rsid w:val="001264C2"/>
    <w:rsid w:val="0014393E"/>
    <w:rsid w:val="00174B6E"/>
    <w:rsid w:val="0018222A"/>
    <w:rsid w:val="001A779E"/>
    <w:rsid w:val="001B0D97"/>
    <w:rsid w:val="001C0866"/>
    <w:rsid w:val="001D4F97"/>
    <w:rsid w:val="001E5126"/>
    <w:rsid w:val="001F79EA"/>
    <w:rsid w:val="00206714"/>
    <w:rsid w:val="00232905"/>
    <w:rsid w:val="00234561"/>
    <w:rsid w:val="0024559C"/>
    <w:rsid w:val="00255EB3"/>
    <w:rsid w:val="00256AAA"/>
    <w:rsid w:val="00257BA7"/>
    <w:rsid w:val="00272950"/>
    <w:rsid w:val="00281086"/>
    <w:rsid w:val="00287EDB"/>
    <w:rsid w:val="002903CE"/>
    <w:rsid w:val="00294E6D"/>
    <w:rsid w:val="002B619E"/>
    <w:rsid w:val="002B6BAF"/>
    <w:rsid w:val="002C66CC"/>
    <w:rsid w:val="002C70C7"/>
    <w:rsid w:val="002C7A79"/>
    <w:rsid w:val="002D45E7"/>
    <w:rsid w:val="002D6A43"/>
    <w:rsid w:val="002E7D47"/>
    <w:rsid w:val="002F0EAC"/>
    <w:rsid w:val="003071C1"/>
    <w:rsid w:val="00314F27"/>
    <w:rsid w:val="0035015E"/>
    <w:rsid w:val="0035091D"/>
    <w:rsid w:val="00367742"/>
    <w:rsid w:val="00373780"/>
    <w:rsid w:val="00382A9A"/>
    <w:rsid w:val="003B3B01"/>
    <w:rsid w:val="003D3D7C"/>
    <w:rsid w:val="003E2411"/>
    <w:rsid w:val="003E6175"/>
    <w:rsid w:val="00403BA8"/>
    <w:rsid w:val="0040492F"/>
    <w:rsid w:val="004240ED"/>
    <w:rsid w:val="00430785"/>
    <w:rsid w:val="004358FC"/>
    <w:rsid w:val="0044148A"/>
    <w:rsid w:val="004649FE"/>
    <w:rsid w:val="00486C24"/>
    <w:rsid w:val="00492A5D"/>
    <w:rsid w:val="004C42A2"/>
    <w:rsid w:val="004D1B53"/>
    <w:rsid w:val="004F1961"/>
    <w:rsid w:val="004F2CD3"/>
    <w:rsid w:val="004F49CC"/>
    <w:rsid w:val="00501424"/>
    <w:rsid w:val="00546F9E"/>
    <w:rsid w:val="00553375"/>
    <w:rsid w:val="0055401C"/>
    <w:rsid w:val="005547AE"/>
    <w:rsid w:val="005606B5"/>
    <w:rsid w:val="00565BB8"/>
    <w:rsid w:val="005709EB"/>
    <w:rsid w:val="00577D67"/>
    <w:rsid w:val="00585497"/>
    <w:rsid w:val="005939A2"/>
    <w:rsid w:val="005973A8"/>
    <w:rsid w:val="005B1FEB"/>
    <w:rsid w:val="005B6FF7"/>
    <w:rsid w:val="005C38F9"/>
    <w:rsid w:val="005D2898"/>
    <w:rsid w:val="005E3279"/>
    <w:rsid w:val="005F1DA7"/>
    <w:rsid w:val="0061233B"/>
    <w:rsid w:val="00623D53"/>
    <w:rsid w:val="00624ECD"/>
    <w:rsid w:val="00636972"/>
    <w:rsid w:val="006514C7"/>
    <w:rsid w:val="0065348C"/>
    <w:rsid w:val="00660357"/>
    <w:rsid w:val="00677739"/>
    <w:rsid w:val="0068129C"/>
    <w:rsid w:val="0068196C"/>
    <w:rsid w:val="006839A6"/>
    <w:rsid w:val="00686C50"/>
    <w:rsid w:val="006963D5"/>
    <w:rsid w:val="006A1DFF"/>
    <w:rsid w:val="006A4BDE"/>
    <w:rsid w:val="006C2DA6"/>
    <w:rsid w:val="006D45A0"/>
    <w:rsid w:val="006E38AC"/>
    <w:rsid w:val="006F170D"/>
    <w:rsid w:val="006F2C3F"/>
    <w:rsid w:val="0075653D"/>
    <w:rsid w:val="00782C7D"/>
    <w:rsid w:val="007B3D7F"/>
    <w:rsid w:val="007B6853"/>
    <w:rsid w:val="007C5F86"/>
    <w:rsid w:val="007C6297"/>
    <w:rsid w:val="007F625D"/>
    <w:rsid w:val="007F7D28"/>
    <w:rsid w:val="00802866"/>
    <w:rsid w:val="00803175"/>
    <w:rsid w:val="00810050"/>
    <w:rsid w:val="00812841"/>
    <w:rsid w:val="00853B09"/>
    <w:rsid w:val="00864C96"/>
    <w:rsid w:val="008715B3"/>
    <w:rsid w:val="0087419A"/>
    <w:rsid w:val="00875C1C"/>
    <w:rsid w:val="00877FEF"/>
    <w:rsid w:val="00896159"/>
    <w:rsid w:val="008A4D38"/>
    <w:rsid w:val="008B41DE"/>
    <w:rsid w:val="008C2C0C"/>
    <w:rsid w:val="008E6C81"/>
    <w:rsid w:val="009037B3"/>
    <w:rsid w:val="009252C4"/>
    <w:rsid w:val="00931048"/>
    <w:rsid w:val="009467C6"/>
    <w:rsid w:val="00952552"/>
    <w:rsid w:val="00955F1A"/>
    <w:rsid w:val="00975BB5"/>
    <w:rsid w:val="009A4046"/>
    <w:rsid w:val="009C1436"/>
    <w:rsid w:val="009C195F"/>
    <w:rsid w:val="009C2BE2"/>
    <w:rsid w:val="009C4C47"/>
    <w:rsid w:val="009D455F"/>
    <w:rsid w:val="009D58C5"/>
    <w:rsid w:val="009F56F6"/>
    <w:rsid w:val="00A30342"/>
    <w:rsid w:val="00A41674"/>
    <w:rsid w:val="00A73F21"/>
    <w:rsid w:val="00A7727F"/>
    <w:rsid w:val="00A86266"/>
    <w:rsid w:val="00A950D0"/>
    <w:rsid w:val="00AA1E83"/>
    <w:rsid w:val="00AB05F7"/>
    <w:rsid w:val="00AC28FD"/>
    <w:rsid w:val="00AD7215"/>
    <w:rsid w:val="00B242EA"/>
    <w:rsid w:val="00B3668A"/>
    <w:rsid w:val="00B4062C"/>
    <w:rsid w:val="00B4254D"/>
    <w:rsid w:val="00B43EB2"/>
    <w:rsid w:val="00B4673A"/>
    <w:rsid w:val="00B51330"/>
    <w:rsid w:val="00B51BEC"/>
    <w:rsid w:val="00B64A42"/>
    <w:rsid w:val="00B73278"/>
    <w:rsid w:val="00BB192F"/>
    <w:rsid w:val="00BC2456"/>
    <w:rsid w:val="00BC64F9"/>
    <w:rsid w:val="00BD4E12"/>
    <w:rsid w:val="00C14DA6"/>
    <w:rsid w:val="00C243D9"/>
    <w:rsid w:val="00C35A6C"/>
    <w:rsid w:val="00C46A73"/>
    <w:rsid w:val="00C46D83"/>
    <w:rsid w:val="00C61FD3"/>
    <w:rsid w:val="00C6652F"/>
    <w:rsid w:val="00C71396"/>
    <w:rsid w:val="00C86F81"/>
    <w:rsid w:val="00C93DE0"/>
    <w:rsid w:val="00CE0DE7"/>
    <w:rsid w:val="00CF3435"/>
    <w:rsid w:val="00D227C5"/>
    <w:rsid w:val="00D26440"/>
    <w:rsid w:val="00D53E92"/>
    <w:rsid w:val="00D75043"/>
    <w:rsid w:val="00D827CD"/>
    <w:rsid w:val="00D859F2"/>
    <w:rsid w:val="00D97B8D"/>
    <w:rsid w:val="00DA6DA1"/>
    <w:rsid w:val="00DC0209"/>
    <w:rsid w:val="00DC13C2"/>
    <w:rsid w:val="00DC54DA"/>
    <w:rsid w:val="00DC6B38"/>
    <w:rsid w:val="00E03B83"/>
    <w:rsid w:val="00E056CF"/>
    <w:rsid w:val="00E22D5E"/>
    <w:rsid w:val="00E4358B"/>
    <w:rsid w:val="00E61CE0"/>
    <w:rsid w:val="00E630C2"/>
    <w:rsid w:val="00E70BCF"/>
    <w:rsid w:val="00E75F6A"/>
    <w:rsid w:val="00E8137A"/>
    <w:rsid w:val="00EB5899"/>
    <w:rsid w:val="00ED3F75"/>
    <w:rsid w:val="00EE34E0"/>
    <w:rsid w:val="00EE34FA"/>
    <w:rsid w:val="00F14FE7"/>
    <w:rsid w:val="00F47E1A"/>
    <w:rsid w:val="00F61E26"/>
    <w:rsid w:val="00F83FD5"/>
    <w:rsid w:val="00F91D93"/>
    <w:rsid w:val="00FB58F0"/>
    <w:rsid w:val="00FC3C53"/>
    <w:rsid w:val="00FD0E7B"/>
    <w:rsid w:val="00FD60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B9891F"/>
  <w15:docId w15:val="{4AC9442E-262F-4666-A876-172C7CE7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uiPriority w:val="9"/>
    <w:qFormat/>
    <w:rsid w:val="00A86266"/>
    <w:pPr>
      <w:keepNext/>
      <w:keepLines/>
      <w:spacing w:before="240"/>
      <w:outlineLvl w:val="0"/>
    </w:pPr>
    <w:rPr>
      <w:rFonts w:eastAsiaTheme="majorEastAsia" w:cstheme="majorBidi"/>
      <w:b/>
      <w:sz w:val="26"/>
      <w:szCs w:val="32"/>
    </w:rPr>
  </w:style>
  <w:style w:type="paragraph" w:styleId="Cmsor2">
    <w:name w:val="heading 2"/>
    <w:basedOn w:val="Norml"/>
    <w:next w:val="Norml"/>
    <w:link w:val="Cmsor2Char"/>
    <w:uiPriority w:val="9"/>
    <w:unhideWhenUsed/>
    <w:qFormat/>
    <w:rsid w:val="00A86266"/>
    <w:pPr>
      <w:keepNext/>
      <w:keepLines/>
      <w:spacing w:before="240"/>
      <w:outlineLvl w:val="1"/>
    </w:pPr>
    <w:rPr>
      <w:rFonts w:eastAsiaTheme="majorEastAsia" w:cstheme="majorBidi"/>
      <w:b/>
      <w:sz w:val="24"/>
      <w:szCs w:val="26"/>
    </w:rPr>
  </w:style>
  <w:style w:type="paragraph" w:styleId="Cmsor3">
    <w:name w:val="heading 3"/>
    <w:basedOn w:val="Norml"/>
    <w:next w:val="Norml"/>
    <w:link w:val="Cmsor3Char"/>
    <w:uiPriority w:val="9"/>
    <w:unhideWhenUsed/>
    <w:qFormat/>
    <w:rsid w:val="00A86266"/>
    <w:pPr>
      <w:keepNext/>
      <w:keepLines/>
      <w:spacing w:before="600" w:after="480"/>
      <w:outlineLvl w:val="2"/>
    </w:pPr>
    <w:rPr>
      <w:rFonts w:eastAsiaTheme="majorEastAsia" w:cstheme="majorBidi"/>
      <w:b/>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2C70C7"/>
    <w:pPr>
      <w:spacing w:after="0" w:line="240" w:lineRule="auto"/>
    </w:pPr>
  </w:style>
  <w:style w:type="paragraph" w:styleId="lfej">
    <w:name w:val="header"/>
    <w:basedOn w:val="Norml"/>
    <w:link w:val="lfejChar"/>
    <w:uiPriority w:val="99"/>
    <w:unhideWhenUsed/>
    <w:rsid w:val="00B43EB2"/>
    <w:pPr>
      <w:tabs>
        <w:tab w:val="center" w:pos="4703"/>
        <w:tab w:val="right" w:pos="9406"/>
      </w:tabs>
      <w:spacing w:after="0" w:line="240" w:lineRule="auto"/>
    </w:pPr>
  </w:style>
  <w:style w:type="character" w:customStyle="1" w:styleId="lfejChar">
    <w:name w:val="Élőfej Char"/>
    <w:basedOn w:val="Bekezdsalapbettpusa"/>
    <w:link w:val="lfej"/>
    <w:uiPriority w:val="99"/>
    <w:rsid w:val="00B43EB2"/>
  </w:style>
  <w:style w:type="paragraph" w:styleId="llb">
    <w:name w:val="footer"/>
    <w:basedOn w:val="Norml"/>
    <w:link w:val="llbChar"/>
    <w:uiPriority w:val="99"/>
    <w:unhideWhenUsed/>
    <w:rsid w:val="00B43EB2"/>
    <w:pPr>
      <w:tabs>
        <w:tab w:val="center" w:pos="4703"/>
        <w:tab w:val="right" w:pos="9406"/>
      </w:tabs>
      <w:spacing w:after="0" w:line="240" w:lineRule="auto"/>
    </w:pPr>
  </w:style>
  <w:style w:type="character" w:customStyle="1" w:styleId="llbChar">
    <w:name w:val="Élőláb Char"/>
    <w:basedOn w:val="Bekezdsalapbettpusa"/>
    <w:link w:val="llb"/>
    <w:uiPriority w:val="99"/>
    <w:rsid w:val="00B43EB2"/>
  </w:style>
  <w:style w:type="paragraph" w:styleId="Buborkszveg">
    <w:name w:val="Balloon Text"/>
    <w:basedOn w:val="Norml"/>
    <w:link w:val="BuborkszvegChar"/>
    <w:uiPriority w:val="99"/>
    <w:semiHidden/>
    <w:unhideWhenUsed/>
    <w:rsid w:val="00B43EB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43EB2"/>
    <w:rPr>
      <w:rFonts w:ascii="Tahoma" w:hAnsi="Tahoma" w:cs="Tahoma"/>
      <w:sz w:val="16"/>
      <w:szCs w:val="16"/>
    </w:rPr>
  </w:style>
  <w:style w:type="paragraph" w:customStyle="1" w:styleId="Norml1">
    <w:name w:val="Normál1"/>
    <w:basedOn w:val="Norml"/>
    <w:rsid w:val="00B43E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hivatkozs">
    <w:name w:val="Hyperlink"/>
    <w:uiPriority w:val="99"/>
    <w:rsid w:val="00B43EB2"/>
    <w:rPr>
      <w:color w:val="006600"/>
      <w:u w:val="single"/>
    </w:rPr>
  </w:style>
  <w:style w:type="paragraph" w:styleId="Lbjegyzetszveg">
    <w:name w:val="footnote text"/>
    <w:basedOn w:val="Norml"/>
    <w:link w:val="LbjegyzetszvegChar"/>
    <w:uiPriority w:val="99"/>
    <w:semiHidden/>
    <w:rsid w:val="00B43EB2"/>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B43EB2"/>
    <w:rPr>
      <w:rFonts w:ascii="Times New Roman" w:eastAsia="Times New Roman" w:hAnsi="Times New Roman" w:cs="Times New Roman"/>
      <w:sz w:val="20"/>
      <w:szCs w:val="20"/>
      <w:lang w:eastAsia="hu-HU"/>
    </w:rPr>
  </w:style>
  <w:style w:type="character" w:styleId="Lbjegyzet-hivatkozs">
    <w:name w:val="footnote reference"/>
    <w:uiPriority w:val="99"/>
    <w:semiHidden/>
    <w:rsid w:val="00B43EB2"/>
    <w:rPr>
      <w:vertAlign w:val="superscript"/>
    </w:rPr>
  </w:style>
  <w:style w:type="paragraph" w:styleId="NormlWeb">
    <w:name w:val="Normal (Web)"/>
    <w:basedOn w:val="Norml"/>
    <w:uiPriority w:val="99"/>
    <w:rsid w:val="00B43EB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B43EB2"/>
    <w:pPr>
      <w:ind w:left="720"/>
      <w:contextualSpacing/>
    </w:pPr>
    <w:rPr>
      <w:rFonts w:ascii="Calibri" w:eastAsia="Calibri" w:hAnsi="Calibri" w:cs="Times New Roman"/>
    </w:rPr>
  </w:style>
  <w:style w:type="paragraph" w:customStyle="1" w:styleId="Default">
    <w:name w:val="Default"/>
    <w:rsid w:val="00B43EB2"/>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doc-ti">
    <w:name w:val="doc-ti"/>
    <w:basedOn w:val="Norml"/>
    <w:rsid w:val="00B43E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Bekezdsalapbettpusa"/>
    <w:rsid w:val="00553375"/>
  </w:style>
  <w:style w:type="character" w:styleId="Jegyzethivatkozs">
    <w:name w:val="annotation reference"/>
    <w:basedOn w:val="Bekezdsalapbettpusa"/>
    <w:uiPriority w:val="99"/>
    <w:semiHidden/>
    <w:unhideWhenUsed/>
    <w:rsid w:val="000467EE"/>
    <w:rPr>
      <w:sz w:val="16"/>
      <w:szCs w:val="16"/>
    </w:rPr>
  </w:style>
  <w:style w:type="paragraph" w:styleId="Jegyzetszveg">
    <w:name w:val="annotation text"/>
    <w:basedOn w:val="Norml"/>
    <w:link w:val="JegyzetszvegChar"/>
    <w:uiPriority w:val="99"/>
    <w:semiHidden/>
    <w:unhideWhenUsed/>
    <w:rsid w:val="000467EE"/>
    <w:pPr>
      <w:spacing w:line="240" w:lineRule="auto"/>
    </w:pPr>
    <w:rPr>
      <w:sz w:val="20"/>
      <w:szCs w:val="20"/>
    </w:rPr>
  </w:style>
  <w:style w:type="character" w:customStyle="1" w:styleId="JegyzetszvegChar">
    <w:name w:val="Jegyzetszöveg Char"/>
    <w:basedOn w:val="Bekezdsalapbettpusa"/>
    <w:link w:val="Jegyzetszveg"/>
    <w:uiPriority w:val="99"/>
    <w:semiHidden/>
    <w:rsid w:val="000467EE"/>
    <w:rPr>
      <w:sz w:val="20"/>
      <w:szCs w:val="20"/>
    </w:rPr>
  </w:style>
  <w:style w:type="paragraph" w:styleId="Megjegyzstrgya">
    <w:name w:val="annotation subject"/>
    <w:basedOn w:val="Jegyzetszveg"/>
    <w:next w:val="Jegyzetszveg"/>
    <w:link w:val="MegjegyzstrgyaChar"/>
    <w:uiPriority w:val="99"/>
    <w:semiHidden/>
    <w:unhideWhenUsed/>
    <w:rsid w:val="000467EE"/>
    <w:rPr>
      <w:b/>
      <w:bCs/>
    </w:rPr>
  </w:style>
  <w:style w:type="character" w:customStyle="1" w:styleId="MegjegyzstrgyaChar">
    <w:name w:val="Megjegyzés tárgya Char"/>
    <w:basedOn w:val="JegyzetszvegChar"/>
    <w:link w:val="Megjegyzstrgya"/>
    <w:uiPriority w:val="99"/>
    <w:semiHidden/>
    <w:rsid w:val="000467EE"/>
    <w:rPr>
      <w:b/>
      <w:bCs/>
      <w:sz w:val="20"/>
      <w:szCs w:val="20"/>
    </w:rPr>
  </w:style>
  <w:style w:type="character" w:styleId="Kiemels">
    <w:name w:val="Emphasis"/>
    <w:basedOn w:val="Bekezdsalapbettpusa"/>
    <w:uiPriority w:val="20"/>
    <w:qFormat/>
    <w:rsid w:val="00636972"/>
    <w:rPr>
      <w:i/>
      <w:iCs/>
    </w:rPr>
  </w:style>
  <w:style w:type="character" w:styleId="Kiemels2">
    <w:name w:val="Strong"/>
    <w:basedOn w:val="Bekezdsalapbettpusa"/>
    <w:uiPriority w:val="22"/>
    <w:qFormat/>
    <w:rsid w:val="00636972"/>
    <w:rPr>
      <w:b/>
      <w:bCs/>
    </w:rPr>
  </w:style>
  <w:style w:type="table" w:styleId="Rcsostblzat">
    <w:name w:val="Table Grid"/>
    <w:basedOn w:val="Normltblzat"/>
    <w:uiPriority w:val="59"/>
    <w:rsid w:val="0028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40492F"/>
    <w:rPr>
      <w:color w:val="605E5C"/>
      <w:shd w:val="clear" w:color="auto" w:fill="E1DFDD"/>
    </w:rPr>
  </w:style>
  <w:style w:type="paragraph" w:styleId="Vgjegyzetszvege">
    <w:name w:val="endnote text"/>
    <w:basedOn w:val="Norml"/>
    <w:link w:val="VgjegyzetszvegeChar"/>
    <w:uiPriority w:val="99"/>
    <w:semiHidden/>
    <w:unhideWhenUsed/>
    <w:rsid w:val="008715B3"/>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8715B3"/>
    <w:rPr>
      <w:sz w:val="20"/>
      <w:szCs w:val="20"/>
    </w:rPr>
  </w:style>
  <w:style w:type="character" w:styleId="Vgjegyzet-hivatkozs">
    <w:name w:val="endnote reference"/>
    <w:basedOn w:val="Bekezdsalapbettpusa"/>
    <w:uiPriority w:val="99"/>
    <w:semiHidden/>
    <w:unhideWhenUsed/>
    <w:rsid w:val="008715B3"/>
    <w:rPr>
      <w:vertAlign w:val="superscript"/>
    </w:rPr>
  </w:style>
  <w:style w:type="character" w:customStyle="1" w:styleId="Cmsor1Char">
    <w:name w:val="Címsor 1 Char"/>
    <w:basedOn w:val="Bekezdsalapbettpusa"/>
    <w:link w:val="Cmsor1"/>
    <w:uiPriority w:val="9"/>
    <w:rsid w:val="00A86266"/>
    <w:rPr>
      <w:rFonts w:eastAsiaTheme="majorEastAsia" w:cstheme="majorBidi"/>
      <w:b/>
      <w:sz w:val="26"/>
      <w:szCs w:val="32"/>
    </w:rPr>
  </w:style>
  <w:style w:type="character" w:customStyle="1" w:styleId="Cmsor2Char">
    <w:name w:val="Címsor 2 Char"/>
    <w:basedOn w:val="Bekezdsalapbettpusa"/>
    <w:link w:val="Cmsor2"/>
    <w:uiPriority w:val="9"/>
    <w:rsid w:val="00A86266"/>
    <w:rPr>
      <w:rFonts w:eastAsiaTheme="majorEastAsia" w:cstheme="majorBidi"/>
      <w:b/>
      <w:sz w:val="24"/>
      <w:szCs w:val="26"/>
    </w:rPr>
  </w:style>
  <w:style w:type="character" w:customStyle="1" w:styleId="Cmsor3Char">
    <w:name w:val="Címsor 3 Char"/>
    <w:basedOn w:val="Bekezdsalapbettpusa"/>
    <w:link w:val="Cmsor3"/>
    <w:uiPriority w:val="9"/>
    <w:rsid w:val="00A86266"/>
    <w:rPr>
      <w:rFonts w:eastAsiaTheme="majorEastAsia" w:cstheme="majorBid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54188">
      <w:bodyDiv w:val="1"/>
      <w:marLeft w:val="0"/>
      <w:marRight w:val="0"/>
      <w:marTop w:val="0"/>
      <w:marBottom w:val="0"/>
      <w:divBdr>
        <w:top w:val="none" w:sz="0" w:space="0" w:color="auto"/>
        <w:left w:val="none" w:sz="0" w:space="0" w:color="auto"/>
        <w:bottom w:val="none" w:sz="0" w:space="0" w:color="auto"/>
        <w:right w:val="none" w:sz="0" w:space="0" w:color="auto"/>
      </w:divBdr>
    </w:div>
    <w:div w:id="369309277">
      <w:bodyDiv w:val="1"/>
      <w:marLeft w:val="390"/>
      <w:marRight w:val="390"/>
      <w:marTop w:val="0"/>
      <w:marBottom w:val="0"/>
      <w:divBdr>
        <w:top w:val="none" w:sz="0" w:space="0" w:color="auto"/>
        <w:left w:val="none" w:sz="0" w:space="0" w:color="auto"/>
        <w:bottom w:val="none" w:sz="0" w:space="0" w:color="auto"/>
        <w:right w:val="none" w:sz="0" w:space="0" w:color="auto"/>
      </w:divBdr>
    </w:div>
    <w:div w:id="550769498">
      <w:bodyDiv w:val="1"/>
      <w:marLeft w:val="390"/>
      <w:marRight w:val="390"/>
      <w:marTop w:val="0"/>
      <w:marBottom w:val="0"/>
      <w:divBdr>
        <w:top w:val="none" w:sz="0" w:space="0" w:color="auto"/>
        <w:left w:val="none" w:sz="0" w:space="0" w:color="auto"/>
        <w:bottom w:val="none" w:sz="0" w:space="0" w:color="auto"/>
        <w:right w:val="none" w:sz="0" w:space="0" w:color="auto"/>
      </w:divBdr>
    </w:div>
    <w:div w:id="197336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te.hu/eselyegyenloseg/tanulas" TargetMode="External"/><Relationship Id="rId13" Type="http://schemas.openxmlformats.org/officeDocument/2006/relationships/hyperlink" Target="mailto:szepesi.magdolna@kancellaria.elte.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te.hu/eselyegyenloseg/tanul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te.hu/eselyegyenlose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atvedelem.elte.hu/tajekoztatok-sablonok" TargetMode="External"/><Relationship Id="rId4" Type="http://schemas.openxmlformats.org/officeDocument/2006/relationships/settings" Target="settings.xml"/><Relationship Id="rId9" Type="http://schemas.openxmlformats.org/officeDocument/2006/relationships/hyperlink" Target="https://www.elte.hu/eselyegyenloseg/tanulas"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689D9-7FA3-42C9-B6B3-7BEB3E9F5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927</Words>
  <Characters>6401</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Matolcsi Rita</dc:creator>
  <cp:lastModifiedBy>Kovács Krisztina</cp:lastModifiedBy>
  <cp:revision>14</cp:revision>
  <cp:lastPrinted>2021-10-20T10:02:00Z</cp:lastPrinted>
  <dcterms:created xsi:type="dcterms:W3CDTF">2021-11-29T08:00:00Z</dcterms:created>
  <dcterms:modified xsi:type="dcterms:W3CDTF">2022-06-23T08:58:00Z</dcterms:modified>
</cp:coreProperties>
</file>